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17E51" w:rsidRPr="005C6FA4" w:rsidRDefault="004A5E4D" w:rsidP="005C6FA4">
      <w:pPr>
        <w:jc w:val="both"/>
        <w:rPr>
          <w:rFonts w:ascii="Arial" w:hAnsi="Arial" w:cs="Arial"/>
          <w:bCs/>
        </w:rPr>
      </w:pPr>
      <w:r w:rsidRPr="005C6FA4">
        <w:rPr>
          <w:rFonts w:ascii="Arial" w:hAnsi="Arial" w:cs="Arial"/>
          <w:bCs/>
        </w:rPr>
        <w:t xml:space="preserve">MUNICIPIO DE </w:t>
      </w:r>
      <w:r w:rsidR="00517E51" w:rsidRPr="005C6FA4">
        <w:rPr>
          <w:rFonts w:ascii="Arial" w:hAnsi="Arial" w:cs="Arial"/>
          <w:bCs/>
        </w:rPr>
        <w:t>SAN JUAN DE NEPOMUCENO</w:t>
      </w:r>
      <w:r w:rsidRPr="005C6FA4">
        <w:rPr>
          <w:rFonts w:ascii="Arial" w:hAnsi="Arial" w:cs="Arial"/>
          <w:bCs/>
        </w:rPr>
        <w:t xml:space="preserve"> DEPARTAMENTO DE BOLIVAR</w:t>
      </w:r>
    </w:p>
    <w:p w:rsidR="00517E51" w:rsidRPr="005C6FA4" w:rsidRDefault="00517E51" w:rsidP="005C6FA4">
      <w:pPr>
        <w:jc w:val="both"/>
        <w:rPr>
          <w:rFonts w:ascii="Arial" w:hAnsi="Arial" w:cs="Arial"/>
          <w:bCs/>
        </w:rPr>
      </w:pPr>
    </w:p>
    <w:p w:rsidR="004A5E4D" w:rsidRPr="00B320B6" w:rsidRDefault="004A5E4D" w:rsidP="00B320B6">
      <w:pPr>
        <w:pStyle w:val="Prrafodelista"/>
        <w:numPr>
          <w:ilvl w:val="0"/>
          <w:numId w:val="13"/>
        </w:numPr>
        <w:jc w:val="both"/>
        <w:rPr>
          <w:rFonts w:ascii="Arial" w:hAnsi="Arial" w:cs="Arial"/>
        </w:rPr>
      </w:pPr>
      <w:r w:rsidRPr="00B320B6">
        <w:rPr>
          <w:rFonts w:ascii="Arial" w:hAnsi="Arial" w:cs="Arial"/>
        </w:rPr>
        <w:t>RESEÑA HISTORICA:</w:t>
      </w:r>
    </w:p>
    <w:p w:rsidR="00B320B6" w:rsidRPr="005C6FA4" w:rsidRDefault="00B320B6" w:rsidP="005C6FA4">
      <w:pPr>
        <w:jc w:val="both"/>
        <w:rPr>
          <w:rFonts w:ascii="Arial" w:hAnsi="Arial" w:cs="Arial"/>
        </w:rPr>
      </w:pPr>
    </w:p>
    <w:p w:rsidR="004A5E4D" w:rsidRPr="005C6FA4" w:rsidRDefault="004A5E4D" w:rsidP="005C6FA4">
      <w:pPr>
        <w:jc w:val="both"/>
        <w:rPr>
          <w:rFonts w:ascii="Arial" w:hAnsi="Arial" w:cs="Arial"/>
        </w:rPr>
      </w:pPr>
      <w:r w:rsidRPr="005C6FA4">
        <w:rPr>
          <w:rFonts w:ascii="Arial" w:hAnsi="Arial" w:cs="Arial"/>
        </w:rPr>
        <w:t>El Municipio de San Juan Nepomuceno, ubicado en el centro del Departamento de Bolívar, tiene una extensión de 637 kms², y está atravesado por la Troncal del Caribe. Se encuentra en la subregión de ¨Montes de María¨, una de las regiones estratégicas del departamento de Bolívar, a 150 metros sobre el nivel del mar, con un clima tropical de sabana y una temperatura media de 27°C</w:t>
      </w:r>
      <w:proofErr w:type="gramStart"/>
      <w:r w:rsidRPr="005C6FA4">
        <w:rPr>
          <w:rFonts w:ascii="Arial" w:hAnsi="Arial" w:cs="Arial"/>
        </w:rPr>
        <w:t>2 .</w:t>
      </w:r>
      <w:proofErr w:type="gramEnd"/>
      <w:r w:rsidRPr="005C6FA4">
        <w:rPr>
          <w:rFonts w:ascii="Arial" w:hAnsi="Arial" w:cs="Arial"/>
        </w:rPr>
        <w:t xml:space="preserve"> A los nacidos en San Juan Nepomuceno se les llama con el gentilicio de “sanjuaneros”. La cabecera del Municipio fue fundada el día 10 de agosto de 1.776, por don Antonio de la Torre y Miranda, conformada por 120 familias y 758 almas. Las actas de posesión fueron protocolizadas el 11 de marzo de 1.779 en la Notaría de El</w:t>
      </w:r>
      <w:r w:rsidR="00D94985" w:rsidRPr="005C6FA4">
        <w:rPr>
          <w:rFonts w:ascii="Arial" w:hAnsi="Arial" w:cs="Arial"/>
        </w:rPr>
        <w:t xml:space="preserve"> Carmen de Bolívar. El Municipio de San Juan Nepomuceno data desde 1.886. Antes había sido distrito con las agregaciones de Carreto y San Cayetano. Sucesivamente, estuvo bajo la férula de las Provincias de Cartagena, El Carmen de Bolívar y Mahates</w:t>
      </w:r>
      <w:r w:rsidR="00A8531E" w:rsidRPr="005C6FA4">
        <w:rPr>
          <w:rFonts w:ascii="Arial" w:hAnsi="Arial" w:cs="Arial"/>
        </w:rPr>
        <w:t>.</w:t>
      </w:r>
    </w:p>
    <w:p w:rsidR="00A8531E" w:rsidRPr="005C6FA4" w:rsidRDefault="00A8531E" w:rsidP="005C6FA4">
      <w:pPr>
        <w:jc w:val="both"/>
        <w:rPr>
          <w:rFonts w:ascii="Arial" w:hAnsi="Arial" w:cs="Arial"/>
        </w:rPr>
      </w:pPr>
    </w:p>
    <w:p w:rsidR="00A8531E" w:rsidRPr="005C6FA4" w:rsidRDefault="00A8531E" w:rsidP="005C6FA4">
      <w:pPr>
        <w:jc w:val="both"/>
        <w:rPr>
          <w:rFonts w:ascii="Arial" w:hAnsi="Arial" w:cs="Arial"/>
        </w:rPr>
      </w:pPr>
      <w:r w:rsidRPr="005C6FA4">
        <w:rPr>
          <w:rFonts w:ascii="Arial" w:hAnsi="Arial" w:cs="Arial"/>
        </w:rPr>
        <w:t>Generalidades.</w:t>
      </w:r>
    </w:p>
    <w:p w:rsidR="00A8531E" w:rsidRPr="005C6FA4" w:rsidRDefault="00A8531E" w:rsidP="005C6FA4">
      <w:pPr>
        <w:jc w:val="both"/>
        <w:rPr>
          <w:rFonts w:ascii="Arial" w:hAnsi="Arial" w:cs="Arial"/>
          <w:bCs/>
        </w:rPr>
      </w:pPr>
      <w:r w:rsidRPr="005C6FA4">
        <w:rPr>
          <w:rFonts w:ascii="Arial" w:hAnsi="Arial" w:cs="Arial"/>
          <w:noProof/>
          <w14:ligatures w14:val="none"/>
        </w:rPr>
        <w:drawing>
          <wp:inline distT="0" distB="0" distL="0" distR="0" wp14:anchorId="5224FC4F" wp14:editId="7791EF62">
            <wp:extent cx="5655409" cy="3810000"/>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44327" t="32888" r="20684" b="22215"/>
                    <a:stretch/>
                  </pic:blipFill>
                  <pic:spPr bwMode="auto">
                    <a:xfrm>
                      <a:off x="0" y="0"/>
                      <a:ext cx="5665979" cy="3817121"/>
                    </a:xfrm>
                    <a:prstGeom prst="rect">
                      <a:avLst/>
                    </a:prstGeom>
                    <a:ln>
                      <a:noFill/>
                    </a:ln>
                    <a:extLst>
                      <a:ext uri="{53640926-AAD7-44D8-BBD7-CCE9431645EC}">
                        <a14:shadowObscured xmlns:a14="http://schemas.microsoft.com/office/drawing/2010/main"/>
                      </a:ext>
                    </a:extLst>
                  </pic:spPr>
                </pic:pic>
              </a:graphicData>
            </a:graphic>
          </wp:inline>
        </w:drawing>
      </w:r>
    </w:p>
    <w:p w:rsidR="00A8531E" w:rsidRPr="005C6FA4" w:rsidRDefault="00A8531E" w:rsidP="005C6FA4">
      <w:pPr>
        <w:jc w:val="both"/>
        <w:rPr>
          <w:rFonts w:ascii="Arial" w:hAnsi="Arial" w:cs="Arial"/>
          <w:bCs/>
        </w:rPr>
      </w:pPr>
    </w:p>
    <w:p w:rsidR="00A8531E" w:rsidRPr="005C6FA4" w:rsidRDefault="00A8531E" w:rsidP="005C6FA4">
      <w:pPr>
        <w:jc w:val="both"/>
        <w:rPr>
          <w:rFonts w:ascii="Arial" w:hAnsi="Arial" w:cs="Arial"/>
          <w:bCs/>
        </w:rPr>
      </w:pPr>
      <w:r w:rsidRPr="005C6FA4">
        <w:rPr>
          <w:rFonts w:ascii="Arial" w:hAnsi="Arial" w:cs="Arial"/>
          <w:noProof/>
          <w14:ligatures w14:val="none"/>
        </w:rPr>
        <w:drawing>
          <wp:inline distT="0" distB="0" distL="0" distR="0" wp14:anchorId="2DD915C6" wp14:editId="08FB1F2F">
            <wp:extent cx="5435229" cy="22161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42657" t="35561" r="19325" b="34913"/>
                    <a:stretch/>
                  </pic:blipFill>
                  <pic:spPr bwMode="auto">
                    <a:xfrm>
                      <a:off x="0" y="0"/>
                      <a:ext cx="5446631" cy="2220799"/>
                    </a:xfrm>
                    <a:prstGeom prst="rect">
                      <a:avLst/>
                    </a:prstGeom>
                    <a:ln>
                      <a:noFill/>
                    </a:ln>
                    <a:extLst>
                      <a:ext uri="{53640926-AAD7-44D8-BBD7-CCE9431645EC}">
                        <a14:shadowObscured xmlns:a14="http://schemas.microsoft.com/office/drawing/2010/main"/>
                      </a:ext>
                    </a:extLst>
                  </pic:spPr>
                </pic:pic>
              </a:graphicData>
            </a:graphic>
          </wp:inline>
        </w:drawing>
      </w:r>
    </w:p>
    <w:p w:rsidR="00A8531E" w:rsidRPr="005C6FA4" w:rsidRDefault="00A8531E" w:rsidP="005C6FA4">
      <w:pPr>
        <w:jc w:val="both"/>
        <w:rPr>
          <w:rFonts w:ascii="Arial" w:hAnsi="Arial" w:cs="Arial"/>
        </w:rPr>
      </w:pPr>
      <w:r w:rsidRPr="005C6FA4">
        <w:rPr>
          <w:rFonts w:ascii="Arial" w:hAnsi="Arial" w:cs="Arial"/>
        </w:rPr>
        <w:t>San Juan Nepomuceno está dividido administrativamente, principalmente por una cabecera municipal y seis corregimientos, los cuales poseen una serie de veredas</w:t>
      </w:r>
    </w:p>
    <w:p w:rsidR="00A8531E" w:rsidRPr="005C6FA4" w:rsidRDefault="00A8531E" w:rsidP="005C6FA4">
      <w:pPr>
        <w:jc w:val="both"/>
        <w:rPr>
          <w:rFonts w:ascii="Arial" w:hAnsi="Arial" w:cs="Arial"/>
          <w:bCs/>
        </w:rPr>
      </w:pPr>
      <w:r w:rsidRPr="005C6FA4">
        <w:rPr>
          <w:rFonts w:ascii="Arial" w:hAnsi="Arial" w:cs="Arial"/>
          <w:noProof/>
          <w14:ligatures w14:val="none"/>
        </w:rPr>
        <w:drawing>
          <wp:inline distT="0" distB="0" distL="0" distR="0" wp14:anchorId="7368123F" wp14:editId="01866E79">
            <wp:extent cx="4965700" cy="4173625"/>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43449" t="27371" r="19665" b="13578"/>
                    <a:stretch/>
                  </pic:blipFill>
                  <pic:spPr bwMode="auto">
                    <a:xfrm>
                      <a:off x="0" y="0"/>
                      <a:ext cx="4980581" cy="4186132"/>
                    </a:xfrm>
                    <a:prstGeom prst="rect">
                      <a:avLst/>
                    </a:prstGeom>
                    <a:ln>
                      <a:noFill/>
                    </a:ln>
                    <a:extLst>
                      <a:ext uri="{53640926-AAD7-44D8-BBD7-CCE9431645EC}">
                        <a14:shadowObscured xmlns:a14="http://schemas.microsoft.com/office/drawing/2010/main"/>
                      </a:ext>
                    </a:extLst>
                  </pic:spPr>
                </pic:pic>
              </a:graphicData>
            </a:graphic>
          </wp:inline>
        </w:drawing>
      </w:r>
    </w:p>
    <w:p w:rsidR="00A8531E" w:rsidRPr="005C6FA4" w:rsidRDefault="00A8531E" w:rsidP="005C6FA4">
      <w:pPr>
        <w:jc w:val="both"/>
        <w:rPr>
          <w:rFonts w:ascii="Arial" w:hAnsi="Arial" w:cs="Arial"/>
        </w:rPr>
      </w:pPr>
      <w:r w:rsidRPr="005C6FA4">
        <w:rPr>
          <w:rFonts w:ascii="Arial" w:hAnsi="Arial" w:cs="Arial"/>
        </w:rPr>
        <w:t>San Juan Nepomuceno tiene un total de 409,5 hectáreas en sus centros poblados, municipio y corregimientos.</w:t>
      </w:r>
    </w:p>
    <w:p w:rsidR="00A8531E" w:rsidRPr="005C6FA4" w:rsidRDefault="00A8531E" w:rsidP="005C6FA4">
      <w:pPr>
        <w:jc w:val="both"/>
        <w:rPr>
          <w:rFonts w:ascii="Arial" w:hAnsi="Arial" w:cs="Arial"/>
          <w:bCs/>
        </w:rPr>
      </w:pPr>
    </w:p>
    <w:p w:rsidR="00A8531E" w:rsidRPr="005C6FA4" w:rsidRDefault="00A8531E" w:rsidP="005C6FA4">
      <w:pPr>
        <w:jc w:val="both"/>
        <w:rPr>
          <w:rFonts w:ascii="Arial" w:hAnsi="Arial" w:cs="Arial"/>
          <w:bCs/>
        </w:rPr>
      </w:pPr>
    </w:p>
    <w:p w:rsidR="00395E33" w:rsidRPr="0091457F" w:rsidRDefault="00A8531E" w:rsidP="0091457F">
      <w:pPr>
        <w:pStyle w:val="Prrafodelista"/>
        <w:numPr>
          <w:ilvl w:val="0"/>
          <w:numId w:val="13"/>
        </w:numPr>
        <w:jc w:val="both"/>
        <w:rPr>
          <w:rFonts w:ascii="Arial" w:hAnsi="Arial" w:cs="Arial"/>
        </w:rPr>
      </w:pPr>
      <w:r w:rsidRPr="0091457F">
        <w:rPr>
          <w:rFonts w:ascii="Arial" w:hAnsi="Arial" w:cs="Arial"/>
        </w:rPr>
        <w:t xml:space="preserve">Pobreza. </w:t>
      </w:r>
    </w:p>
    <w:p w:rsidR="00A8531E" w:rsidRPr="005C6FA4" w:rsidRDefault="00A8531E" w:rsidP="005C6FA4">
      <w:pPr>
        <w:jc w:val="both"/>
        <w:rPr>
          <w:rFonts w:ascii="Arial" w:hAnsi="Arial" w:cs="Arial"/>
        </w:rPr>
      </w:pPr>
      <w:r w:rsidRPr="005C6FA4">
        <w:rPr>
          <w:rFonts w:ascii="Arial" w:hAnsi="Arial" w:cs="Arial"/>
        </w:rPr>
        <w:t>La pobreza en el municipio de San Juan Nepomuceno es un problema complejo que requiere una atención integral y políticas públicas enfocadas en mejorar las condiciones de vida de los grupos más vulnerables, fortalecer el acceso a oportunidades y servicios básicos, y reducir las disparidades socioeconómicas dentro de la comunidad. La situación de la pobreza en este municipio se caracteriza por una combinación de factores socioeconómicos que afectan a una parte significativa de su población. De ellos se destacan: a) Ingresos Bajos. b) Acceso Limitado a Servicios Básicos. c) Desigualdad Social. d) Déficit en Vivienda y Urbanización. e) Acceso Limitado a Educación y Salud.</w:t>
      </w:r>
    </w:p>
    <w:p w:rsidR="00DA64A9" w:rsidRPr="0091457F" w:rsidRDefault="00DA64A9" w:rsidP="0091457F">
      <w:pPr>
        <w:pStyle w:val="Prrafodelista"/>
        <w:numPr>
          <w:ilvl w:val="0"/>
          <w:numId w:val="13"/>
        </w:numPr>
        <w:jc w:val="both"/>
        <w:rPr>
          <w:rFonts w:ascii="Arial" w:hAnsi="Arial" w:cs="Arial"/>
        </w:rPr>
      </w:pPr>
      <w:r w:rsidRPr="0091457F">
        <w:rPr>
          <w:rFonts w:ascii="Arial" w:hAnsi="Arial" w:cs="Arial"/>
        </w:rPr>
        <w:t xml:space="preserve">Educación </w:t>
      </w:r>
    </w:p>
    <w:p w:rsidR="00DA64A9" w:rsidRPr="005C6FA4" w:rsidRDefault="00DA64A9" w:rsidP="005C6FA4">
      <w:pPr>
        <w:jc w:val="both"/>
        <w:rPr>
          <w:rFonts w:ascii="Arial" w:hAnsi="Arial" w:cs="Arial"/>
        </w:rPr>
      </w:pPr>
      <w:r w:rsidRPr="005C6FA4">
        <w:rPr>
          <w:rFonts w:ascii="Arial" w:hAnsi="Arial" w:cs="Arial"/>
        </w:rPr>
        <w:t>La mayor parte de la población del municipio es joven, ya que según cifras del DANE para el año 2.023 15.133 personas son menores de 24 años, es decir el 37,81%; el 21% de la población está en edad escolar (5-17 años), cerca de 8.405 niños, niñas y adolescentes a los cuales se les debe ofrecer la educación en las instituciones educativas del municipio. Mientras que un 8,65% corresponde a la población entre los 0 y 5 años que es objetivo de los programas de atención integral a la primera infancia (estrategia 0 a Siempre) y educación preescolar. El 20,8% de la población de 5 años y más y el 24,9% de 15 años y más de San Juan Nepomuceno no sabe leer y escribir. El 70,1% de la población en cabecera de 3 a 24 años asiste a un establecimiento educativo formal. El 36,1% de la población residente en San Juan Nepomuceno, ha alcanzado el nivel básico primaria; el 31,9% ha alcanzado secundaria y el 3,7% el nivel superior y postgrado. La población residente sin ningún nivel educativo es el 20,3%.</w:t>
      </w:r>
    </w:p>
    <w:p w:rsidR="002A28EF" w:rsidRPr="0091457F" w:rsidRDefault="002A28EF" w:rsidP="0091457F">
      <w:pPr>
        <w:pStyle w:val="Prrafodelista"/>
        <w:numPr>
          <w:ilvl w:val="0"/>
          <w:numId w:val="13"/>
        </w:numPr>
        <w:jc w:val="both"/>
        <w:rPr>
          <w:rFonts w:ascii="Arial" w:hAnsi="Arial" w:cs="Arial"/>
        </w:rPr>
      </w:pPr>
      <w:r w:rsidRPr="0091457F">
        <w:rPr>
          <w:rFonts w:ascii="Arial" w:hAnsi="Arial" w:cs="Arial"/>
        </w:rPr>
        <w:t xml:space="preserve">Aseguramiento </w:t>
      </w:r>
    </w:p>
    <w:p w:rsidR="002A28EF" w:rsidRPr="005C6FA4" w:rsidRDefault="002A28EF" w:rsidP="005C6FA4">
      <w:pPr>
        <w:jc w:val="both"/>
        <w:rPr>
          <w:rFonts w:ascii="Arial" w:hAnsi="Arial" w:cs="Arial"/>
        </w:rPr>
      </w:pPr>
      <w:r w:rsidRPr="005C6FA4">
        <w:rPr>
          <w:rFonts w:ascii="Arial" w:hAnsi="Arial" w:cs="Arial"/>
        </w:rPr>
        <w:t>El municipio reporta a la fecha del cierre de la vigencia 2.021, según el Ministerio de Salud y Protección Social, una afiliación de 33.508 personas en el régimen subsidiado, en las EPS MUTUAL SER, CAJA COPI, LA NUEVA EPS, y AMBUQ concentrada en su mayoría en la EPS MUTUAL SER con un porcentaje del 83,60% seguido de CAJA COPI con 7,56%, LA NUEVA EPS con 6,95%, y AMBUQ con el 1,89%, la distribución por áreas de la afiliación es del 63% urbano y el 34% rural. De acuerdo al DNP, en el municipio de San Juan se encuentran 39.549 personas en el SISBEN IV, en 10.481 fichas, aplicadas a 12.484 hogares, al grupo A pertenecen 17.657 personas, al grupo B pertenecen 18.223 personas, al grupo C pertenecen 2.907 personas y al grupo D pertenecen 753 personas.</w:t>
      </w:r>
    </w:p>
    <w:p w:rsidR="002A28EF" w:rsidRPr="005C6FA4" w:rsidRDefault="002A28EF" w:rsidP="005C6FA4">
      <w:pPr>
        <w:jc w:val="both"/>
        <w:rPr>
          <w:rFonts w:ascii="Arial" w:hAnsi="Arial" w:cs="Arial"/>
          <w:bCs/>
        </w:rPr>
      </w:pPr>
    </w:p>
    <w:p w:rsidR="002A28EF" w:rsidRPr="005C6FA4" w:rsidRDefault="002A28EF" w:rsidP="005C6FA4">
      <w:pPr>
        <w:jc w:val="both"/>
        <w:rPr>
          <w:rFonts w:ascii="Arial" w:hAnsi="Arial" w:cs="Arial"/>
          <w:bCs/>
        </w:rPr>
      </w:pPr>
    </w:p>
    <w:p w:rsidR="002A28EF" w:rsidRPr="005C6FA4" w:rsidRDefault="002A28EF" w:rsidP="005C6FA4">
      <w:pPr>
        <w:jc w:val="both"/>
        <w:rPr>
          <w:rFonts w:ascii="Arial" w:hAnsi="Arial" w:cs="Arial"/>
          <w:bCs/>
        </w:rPr>
      </w:pPr>
      <w:r w:rsidRPr="005C6FA4">
        <w:rPr>
          <w:rFonts w:ascii="Arial" w:hAnsi="Arial" w:cs="Arial"/>
          <w:noProof/>
          <w14:ligatures w14:val="none"/>
        </w:rPr>
        <w:drawing>
          <wp:inline distT="0" distB="0" distL="0" distR="0" wp14:anchorId="35613949" wp14:editId="2C131E42">
            <wp:extent cx="5391150" cy="3762859"/>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1638" t="37284" r="13781" b="3448"/>
                    <a:stretch/>
                  </pic:blipFill>
                  <pic:spPr bwMode="auto">
                    <a:xfrm>
                      <a:off x="0" y="0"/>
                      <a:ext cx="5400010" cy="3769043"/>
                    </a:xfrm>
                    <a:prstGeom prst="rect">
                      <a:avLst/>
                    </a:prstGeom>
                    <a:ln>
                      <a:noFill/>
                    </a:ln>
                    <a:extLst>
                      <a:ext uri="{53640926-AAD7-44D8-BBD7-CCE9431645EC}">
                        <a14:shadowObscured xmlns:a14="http://schemas.microsoft.com/office/drawing/2010/main"/>
                      </a:ext>
                    </a:extLst>
                  </pic:spPr>
                </pic:pic>
              </a:graphicData>
            </a:graphic>
          </wp:inline>
        </w:drawing>
      </w:r>
    </w:p>
    <w:p w:rsidR="00F802A5" w:rsidRPr="005C6FA4" w:rsidRDefault="00F802A5" w:rsidP="005C6FA4">
      <w:pPr>
        <w:jc w:val="both"/>
        <w:rPr>
          <w:rFonts w:ascii="Arial" w:hAnsi="Arial" w:cs="Arial"/>
          <w:bCs/>
        </w:rPr>
      </w:pPr>
      <w:r w:rsidRPr="005C6FA4">
        <w:rPr>
          <w:rFonts w:ascii="Arial" w:hAnsi="Arial" w:cs="Arial"/>
          <w:noProof/>
          <w14:ligatures w14:val="none"/>
        </w:rPr>
        <w:drawing>
          <wp:inline distT="0" distB="0" distL="0" distR="0" wp14:anchorId="274EDBB9" wp14:editId="32C770C4">
            <wp:extent cx="5308294" cy="1123950"/>
            <wp:effectExtent l="0" t="0" r="698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2657" t="43750" r="12989" b="38362"/>
                    <a:stretch/>
                  </pic:blipFill>
                  <pic:spPr bwMode="auto">
                    <a:xfrm>
                      <a:off x="0" y="0"/>
                      <a:ext cx="5353691" cy="1133562"/>
                    </a:xfrm>
                    <a:prstGeom prst="rect">
                      <a:avLst/>
                    </a:prstGeom>
                    <a:ln>
                      <a:noFill/>
                    </a:ln>
                    <a:extLst>
                      <a:ext uri="{53640926-AAD7-44D8-BBD7-CCE9431645EC}">
                        <a14:shadowObscured xmlns:a14="http://schemas.microsoft.com/office/drawing/2010/main"/>
                      </a:ext>
                    </a:extLst>
                  </pic:spPr>
                </pic:pic>
              </a:graphicData>
            </a:graphic>
          </wp:inline>
        </w:drawing>
      </w:r>
    </w:p>
    <w:p w:rsidR="00841B7C" w:rsidRPr="005C6FA4" w:rsidRDefault="00841B7C" w:rsidP="005C6FA4">
      <w:pPr>
        <w:jc w:val="both"/>
        <w:rPr>
          <w:rFonts w:ascii="Arial" w:hAnsi="Arial" w:cs="Arial"/>
          <w:bCs/>
        </w:rPr>
      </w:pPr>
    </w:p>
    <w:p w:rsidR="00F802A5" w:rsidRDefault="00F802A5" w:rsidP="0091457F">
      <w:pPr>
        <w:pStyle w:val="Prrafodelista"/>
        <w:numPr>
          <w:ilvl w:val="0"/>
          <w:numId w:val="13"/>
        </w:numPr>
        <w:jc w:val="both"/>
        <w:rPr>
          <w:rFonts w:ascii="Arial" w:hAnsi="Arial" w:cs="Arial"/>
          <w:bCs/>
        </w:rPr>
      </w:pPr>
      <w:r w:rsidRPr="0091457F">
        <w:rPr>
          <w:rFonts w:ascii="Arial" w:hAnsi="Arial" w:cs="Arial"/>
          <w:bCs/>
        </w:rPr>
        <w:t>POBLACIONES.</w:t>
      </w:r>
    </w:p>
    <w:p w:rsidR="0091457F" w:rsidRPr="0091457F" w:rsidRDefault="0091457F" w:rsidP="0091457F">
      <w:pPr>
        <w:pStyle w:val="Prrafodelista"/>
        <w:jc w:val="both"/>
        <w:rPr>
          <w:rFonts w:ascii="Arial" w:hAnsi="Arial" w:cs="Arial"/>
          <w:bCs/>
        </w:rPr>
      </w:pPr>
    </w:p>
    <w:p w:rsidR="00841B7C" w:rsidRPr="0091457F" w:rsidRDefault="00841B7C" w:rsidP="0091457F">
      <w:pPr>
        <w:pStyle w:val="Prrafodelista"/>
        <w:numPr>
          <w:ilvl w:val="0"/>
          <w:numId w:val="14"/>
        </w:numPr>
        <w:jc w:val="both"/>
        <w:rPr>
          <w:rFonts w:ascii="Arial" w:hAnsi="Arial" w:cs="Arial"/>
        </w:rPr>
      </w:pPr>
      <w:r w:rsidRPr="0091457F">
        <w:rPr>
          <w:rFonts w:ascii="Arial" w:hAnsi="Arial" w:cs="Arial"/>
        </w:rPr>
        <w:t>Discapacidad</w:t>
      </w:r>
    </w:p>
    <w:p w:rsidR="00F802A5" w:rsidRPr="005C6FA4" w:rsidRDefault="00841B7C" w:rsidP="005C6FA4">
      <w:pPr>
        <w:jc w:val="both"/>
        <w:rPr>
          <w:rFonts w:ascii="Arial" w:hAnsi="Arial" w:cs="Arial"/>
        </w:rPr>
      </w:pPr>
      <w:r w:rsidRPr="005C6FA4">
        <w:rPr>
          <w:rFonts w:ascii="Arial" w:hAnsi="Arial" w:cs="Arial"/>
        </w:rPr>
        <w:t xml:space="preserve">A corte de 12 de julio de 2.021, el Registro de Localización y Caracterización de Personas con Discapacidad reporta que en el municipio de San Juan Nepomuceno hay 1.504 personas en condición de discapacidad, representando aproximadamente el 3,8% del total poblacional, lo cual es una importante proporción. La población masculina representa la mayor cantidad de esta población con 766 hombres frente a 736 mujeres. La mayoría de las alteraciones permanentes se ubican en el grupo de edad de 80 y más años, siendo similar la distribución en </w:t>
      </w:r>
      <w:r w:rsidRPr="005C6FA4">
        <w:rPr>
          <w:rFonts w:ascii="Arial" w:hAnsi="Arial" w:cs="Arial"/>
        </w:rPr>
        <w:lastRenderedPageBreak/>
        <w:t>hombres y mujeres; le siguen los grupos de 15 a 19 años y de 75 a 79 y de 10 a 14 años, indicando una importante población adolescente.</w:t>
      </w:r>
    </w:p>
    <w:p w:rsidR="00841B7C" w:rsidRPr="005C6FA4" w:rsidRDefault="00841B7C" w:rsidP="005C6FA4">
      <w:pPr>
        <w:jc w:val="both"/>
        <w:rPr>
          <w:rFonts w:ascii="Arial" w:hAnsi="Arial" w:cs="Arial"/>
        </w:rPr>
      </w:pPr>
    </w:p>
    <w:p w:rsidR="00841B7C" w:rsidRPr="0091457F" w:rsidRDefault="00841B7C" w:rsidP="0091457F">
      <w:pPr>
        <w:pStyle w:val="Prrafodelista"/>
        <w:numPr>
          <w:ilvl w:val="0"/>
          <w:numId w:val="14"/>
        </w:numPr>
        <w:jc w:val="both"/>
        <w:rPr>
          <w:rFonts w:ascii="Arial" w:hAnsi="Arial" w:cs="Arial"/>
        </w:rPr>
      </w:pPr>
      <w:r w:rsidRPr="0091457F">
        <w:rPr>
          <w:rFonts w:ascii="Arial" w:hAnsi="Arial" w:cs="Arial"/>
        </w:rPr>
        <w:t xml:space="preserve">Adulto Mayor </w:t>
      </w:r>
    </w:p>
    <w:p w:rsidR="00841B7C" w:rsidRPr="005C6FA4" w:rsidRDefault="00841B7C" w:rsidP="005C6FA4">
      <w:pPr>
        <w:jc w:val="both"/>
        <w:rPr>
          <w:rFonts w:ascii="Arial" w:hAnsi="Arial" w:cs="Arial"/>
        </w:rPr>
      </w:pPr>
      <w:r w:rsidRPr="005C6FA4">
        <w:rPr>
          <w:rFonts w:ascii="Arial" w:hAnsi="Arial" w:cs="Arial"/>
        </w:rPr>
        <w:t>Actualmente, en el municipio el total de la población mayor de 60 años representa un 30.62% de la población para un total de 10.851, quienes cuentan con el cubrimiento en materia de salud, actividades deportivas y recreativas en un 100%. La distribución poblacional por sexo es de 5.447 mujeres equivalentes al 15.37% del total de la población y de 5.404 hombres equivalentes al 15.25 % del total de la población.</w:t>
      </w:r>
    </w:p>
    <w:p w:rsidR="00841B7C" w:rsidRPr="0091457F" w:rsidRDefault="00841B7C" w:rsidP="0091457F">
      <w:pPr>
        <w:pStyle w:val="Prrafodelista"/>
        <w:numPr>
          <w:ilvl w:val="0"/>
          <w:numId w:val="14"/>
        </w:numPr>
        <w:jc w:val="both"/>
        <w:rPr>
          <w:rFonts w:ascii="Arial" w:hAnsi="Arial" w:cs="Arial"/>
        </w:rPr>
      </w:pPr>
      <w:r w:rsidRPr="0091457F">
        <w:rPr>
          <w:rFonts w:ascii="Arial" w:hAnsi="Arial" w:cs="Arial"/>
        </w:rPr>
        <w:t xml:space="preserve">Infancia y Adolescencia </w:t>
      </w:r>
    </w:p>
    <w:p w:rsidR="00841B7C" w:rsidRPr="005C6FA4" w:rsidRDefault="00841B7C" w:rsidP="005C6FA4">
      <w:pPr>
        <w:jc w:val="both"/>
        <w:rPr>
          <w:rFonts w:ascii="Arial" w:hAnsi="Arial" w:cs="Arial"/>
        </w:rPr>
      </w:pPr>
      <w:r w:rsidRPr="005C6FA4">
        <w:rPr>
          <w:rFonts w:ascii="Arial" w:hAnsi="Arial" w:cs="Arial"/>
        </w:rPr>
        <w:t xml:space="preserve">En el municipio de San Juan Nepomuceno, se tiene un 49.83% del total de la población considerada como infantes y adolescentes, quienes tienen acceso a la educación y salud en un 100%. ALCALDIA MUNICIPAL DE SAN JUAN NEPOMUCENO </w:t>
      </w:r>
      <w:proofErr w:type="spellStart"/>
      <w:r w:rsidRPr="005C6FA4">
        <w:rPr>
          <w:rFonts w:ascii="Arial" w:hAnsi="Arial" w:cs="Arial"/>
        </w:rPr>
        <w:t>Nit</w:t>
      </w:r>
      <w:proofErr w:type="spellEnd"/>
      <w:r w:rsidRPr="005C6FA4">
        <w:rPr>
          <w:rFonts w:ascii="Arial" w:hAnsi="Arial" w:cs="Arial"/>
        </w:rPr>
        <w:t>. 800.037175-2 P á g i n a 37 | 316 Por grupos etarios se tiene que, de 0-4 años se concentra el 14.81% de la población sanjuanera, teniendo una distribución del 9.29% en hombre y del 8.21% en mujeres. Es importante mencionar que, dentro de las problemáticas con mayor incidencia en la infancia y adolescencia del municipio se encuentra la violencia desagregada por familiar, sexual e incluso de pareja para aquellos adolescentes con vida de pareja desde temprana edad.</w:t>
      </w:r>
    </w:p>
    <w:p w:rsidR="00BE3044" w:rsidRPr="0091457F" w:rsidRDefault="0091457F" w:rsidP="0091457F">
      <w:pPr>
        <w:pStyle w:val="Prrafodelista"/>
        <w:numPr>
          <w:ilvl w:val="0"/>
          <w:numId w:val="14"/>
        </w:numPr>
        <w:jc w:val="both"/>
        <w:rPr>
          <w:rFonts w:ascii="Arial" w:hAnsi="Arial" w:cs="Arial"/>
        </w:rPr>
      </w:pPr>
      <w:r>
        <w:rPr>
          <w:rFonts w:ascii="Arial" w:hAnsi="Arial" w:cs="Arial"/>
        </w:rPr>
        <w:t>J</w:t>
      </w:r>
      <w:r w:rsidR="00BE3044" w:rsidRPr="0091457F">
        <w:rPr>
          <w:rFonts w:ascii="Arial" w:hAnsi="Arial" w:cs="Arial"/>
        </w:rPr>
        <w:t>uventud</w:t>
      </w:r>
    </w:p>
    <w:p w:rsidR="00BE3044" w:rsidRPr="005C6FA4" w:rsidRDefault="00BE3044" w:rsidP="005C6FA4">
      <w:pPr>
        <w:jc w:val="both"/>
        <w:rPr>
          <w:rFonts w:ascii="Arial" w:hAnsi="Arial" w:cs="Arial"/>
        </w:rPr>
      </w:pPr>
      <w:r w:rsidRPr="005C6FA4">
        <w:rPr>
          <w:rFonts w:ascii="Arial" w:hAnsi="Arial" w:cs="Arial"/>
        </w:rPr>
        <w:t>El municipio de San Juan Nepomuceno cuenta con un segmento poblacional entre los 14 y 28 años de 9.546 personas (proyecciones de población a nivel municipal. periodo 2.020 – 2.035), de estos, 560 jóvenes son beneficiarios del programa Jóvenes en Acción, siendo el municipio de San Juan Nepomuceno uno de los municipios con mayor número de beneficiarios en el departamento, lo que permite fortalecer el proceso de formación académica.</w:t>
      </w:r>
    </w:p>
    <w:p w:rsidR="00BE3044" w:rsidRPr="0091457F" w:rsidRDefault="00BE3044" w:rsidP="0091457F">
      <w:pPr>
        <w:pStyle w:val="Prrafodelista"/>
        <w:numPr>
          <w:ilvl w:val="0"/>
          <w:numId w:val="13"/>
        </w:numPr>
        <w:jc w:val="both"/>
        <w:rPr>
          <w:rFonts w:ascii="Arial" w:hAnsi="Arial" w:cs="Arial"/>
        </w:rPr>
      </w:pPr>
      <w:r w:rsidRPr="0091457F">
        <w:rPr>
          <w:rFonts w:ascii="Arial" w:hAnsi="Arial" w:cs="Arial"/>
        </w:rPr>
        <w:t>Ambiente</w:t>
      </w:r>
    </w:p>
    <w:p w:rsidR="00BE3044" w:rsidRPr="005C6FA4" w:rsidRDefault="00BE3044" w:rsidP="005C6FA4">
      <w:pPr>
        <w:jc w:val="both"/>
        <w:rPr>
          <w:rFonts w:ascii="Arial" w:hAnsi="Arial" w:cs="Arial"/>
        </w:rPr>
      </w:pPr>
      <w:r w:rsidRPr="005C6FA4">
        <w:rPr>
          <w:rFonts w:ascii="Arial" w:hAnsi="Arial" w:cs="Arial"/>
        </w:rPr>
        <w:t xml:space="preserve">En el municipio de San Juan Nepomuceno, realmente es muy poco lo que se ha desarrollado en el sector ambiental. Existe la conformación del CIDEA, se han realizado algunos PROCEDAS Y PRAES, sin que se lleve más allá de un escrito y se implementen estos programas. Hoy en día tenemos áreas de bosques de protección que están localizadas en las zonas de reservas del Santuario de Fauna y Flora Los Colorados. Las especies dominantes en este tipo de ecosistemas son: </w:t>
      </w:r>
      <w:proofErr w:type="spellStart"/>
      <w:r w:rsidRPr="005C6FA4">
        <w:rPr>
          <w:rFonts w:ascii="Arial" w:hAnsi="Arial" w:cs="Arial"/>
        </w:rPr>
        <w:t>Trupillo</w:t>
      </w:r>
      <w:proofErr w:type="spellEnd"/>
      <w:r w:rsidRPr="005C6FA4">
        <w:rPr>
          <w:rFonts w:ascii="Arial" w:hAnsi="Arial" w:cs="Arial"/>
        </w:rPr>
        <w:t xml:space="preserve"> (</w:t>
      </w:r>
      <w:proofErr w:type="spellStart"/>
      <w:r w:rsidRPr="005C6FA4">
        <w:rPr>
          <w:rFonts w:ascii="Arial" w:hAnsi="Arial" w:cs="Arial"/>
        </w:rPr>
        <w:t>Prosopis</w:t>
      </w:r>
      <w:proofErr w:type="spellEnd"/>
      <w:r w:rsidRPr="005C6FA4">
        <w:rPr>
          <w:rFonts w:ascii="Arial" w:hAnsi="Arial" w:cs="Arial"/>
        </w:rPr>
        <w:t xml:space="preserve"> </w:t>
      </w:r>
      <w:proofErr w:type="spellStart"/>
      <w:r w:rsidRPr="005C6FA4">
        <w:rPr>
          <w:rFonts w:ascii="Arial" w:hAnsi="Arial" w:cs="Arial"/>
        </w:rPr>
        <w:t>juliflora</w:t>
      </w:r>
      <w:proofErr w:type="spellEnd"/>
      <w:r w:rsidRPr="005C6FA4">
        <w:rPr>
          <w:rFonts w:ascii="Arial" w:hAnsi="Arial" w:cs="Arial"/>
        </w:rPr>
        <w:t xml:space="preserve">), </w:t>
      </w:r>
      <w:proofErr w:type="spellStart"/>
      <w:r w:rsidRPr="005C6FA4">
        <w:rPr>
          <w:rFonts w:ascii="Arial" w:hAnsi="Arial" w:cs="Arial"/>
        </w:rPr>
        <w:t>Naranjuelo</w:t>
      </w:r>
      <w:proofErr w:type="spellEnd"/>
      <w:r w:rsidRPr="005C6FA4">
        <w:rPr>
          <w:rFonts w:ascii="Arial" w:hAnsi="Arial" w:cs="Arial"/>
        </w:rPr>
        <w:t xml:space="preserve"> (</w:t>
      </w:r>
      <w:proofErr w:type="spellStart"/>
      <w:r w:rsidRPr="005C6FA4">
        <w:rPr>
          <w:rFonts w:ascii="Arial" w:hAnsi="Arial" w:cs="Arial"/>
        </w:rPr>
        <w:t>Capparis</w:t>
      </w:r>
      <w:proofErr w:type="spellEnd"/>
      <w:r w:rsidRPr="005C6FA4">
        <w:rPr>
          <w:rFonts w:ascii="Arial" w:hAnsi="Arial" w:cs="Arial"/>
        </w:rPr>
        <w:t>), Roble (</w:t>
      </w:r>
      <w:proofErr w:type="spellStart"/>
      <w:r w:rsidRPr="005C6FA4">
        <w:rPr>
          <w:rFonts w:ascii="Arial" w:hAnsi="Arial" w:cs="Arial"/>
        </w:rPr>
        <w:t>Tabebuia</w:t>
      </w:r>
      <w:proofErr w:type="spellEnd"/>
      <w:r w:rsidRPr="005C6FA4">
        <w:rPr>
          <w:rFonts w:ascii="Arial" w:hAnsi="Arial" w:cs="Arial"/>
        </w:rPr>
        <w:t xml:space="preserve"> rosea), Santa Cruz (</w:t>
      </w:r>
      <w:proofErr w:type="spellStart"/>
      <w:r w:rsidRPr="005C6FA4">
        <w:rPr>
          <w:rFonts w:ascii="Arial" w:hAnsi="Arial" w:cs="Arial"/>
        </w:rPr>
        <w:t>Astronium</w:t>
      </w:r>
      <w:proofErr w:type="spellEnd"/>
      <w:r w:rsidRPr="005C6FA4">
        <w:rPr>
          <w:rFonts w:ascii="Arial" w:hAnsi="Arial" w:cs="Arial"/>
        </w:rPr>
        <w:t xml:space="preserve"> </w:t>
      </w:r>
      <w:proofErr w:type="spellStart"/>
      <w:r w:rsidRPr="005C6FA4">
        <w:rPr>
          <w:rFonts w:ascii="Arial" w:hAnsi="Arial" w:cs="Arial"/>
        </w:rPr>
        <w:t>graveolens</w:t>
      </w:r>
      <w:proofErr w:type="spellEnd"/>
      <w:r w:rsidRPr="005C6FA4">
        <w:rPr>
          <w:rFonts w:ascii="Arial" w:hAnsi="Arial" w:cs="Arial"/>
        </w:rPr>
        <w:t>), Hobo (</w:t>
      </w:r>
      <w:proofErr w:type="spellStart"/>
      <w:r w:rsidRPr="005C6FA4">
        <w:rPr>
          <w:rFonts w:ascii="Arial" w:hAnsi="Arial" w:cs="Arial"/>
        </w:rPr>
        <w:t>Pereskia</w:t>
      </w:r>
      <w:proofErr w:type="spellEnd"/>
      <w:r w:rsidRPr="005C6FA4">
        <w:rPr>
          <w:rFonts w:ascii="Arial" w:hAnsi="Arial" w:cs="Arial"/>
        </w:rPr>
        <w:t xml:space="preserve"> colombiana), </w:t>
      </w:r>
      <w:proofErr w:type="spellStart"/>
      <w:r w:rsidRPr="005C6FA4">
        <w:rPr>
          <w:rFonts w:ascii="Arial" w:hAnsi="Arial" w:cs="Arial"/>
        </w:rPr>
        <w:t>Matarratón</w:t>
      </w:r>
      <w:proofErr w:type="spellEnd"/>
      <w:r w:rsidRPr="005C6FA4">
        <w:rPr>
          <w:rFonts w:ascii="Arial" w:hAnsi="Arial" w:cs="Arial"/>
        </w:rPr>
        <w:t xml:space="preserve"> (</w:t>
      </w:r>
      <w:proofErr w:type="spellStart"/>
      <w:r w:rsidRPr="005C6FA4">
        <w:rPr>
          <w:rFonts w:ascii="Arial" w:hAnsi="Arial" w:cs="Arial"/>
        </w:rPr>
        <w:t>Gliricidia</w:t>
      </w:r>
      <w:proofErr w:type="spellEnd"/>
      <w:r w:rsidRPr="005C6FA4">
        <w:rPr>
          <w:rFonts w:ascii="Arial" w:hAnsi="Arial" w:cs="Arial"/>
        </w:rPr>
        <w:t xml:space="preserve"> </w:t>
      </w:r>
      <w:proofErr w:type="spellStart"/>
      <w:r w:rsidRPr="005C6FA4">
        <w:rPr>
          <w:rFonts w:ascii="Arial" w:hAnsi="Arial" w:cs="Arial"/>
        </w:rPr>
        <w:lastRenderedPageBreak/>
        <w:t>sepium</w:t>
      </w:r>
      <w:proofErr w:type="spellEnd"/>
      <w:r w:rsidRPr="005C6FA4">
        <w:rPr>
          <w:rFonts w:ascii="Arial" w:hAnsi="Arial" w:cs="Arial"/>
        </w:rPr>
        <w:t>), Campano (</w:t>
      </w:r>
      <w:proofErr w:type="spellStart"/>
      <w:r w:rsidRPr="005C6FA4">
        <w:rPr>
          <w:rFonts w:ascii="Arial" w:hAnsi="Arial" w:cs="Arial"/>
        </w:rPr>
        <w:t>Saman</w:t>
      </w:r>
      <w:proofErr w:type="spellEnd"/>
      <w:r w:rsidRPr="005C6FA4">
        <w:rPr>
          <w:rFonts w:ascii="Arial" w:hAnsi="Arial" w:cs="Arial"/>
        </w:rPr>
        <w:t xml:space="preserve"> </w:t>
      </w:r>
      <w:proofErr w:type="spellStart"/>
      <w:r w:rsidRPr="005C6FA4">
        <w:rPr>
          <w:rFonts w:ascii="Arial" w:hAnsi="Arial" w:cs="Arial"/>
        </w:rPr>
        <w:t>saman</w:t>
      </w:r>
      <w:proofErr w:type="spellEnd"/>
      <w:r w:rsidRPr="005C6FA4">
        <w:rPr>
          <w:rFonts w:ascii="Arial" w:hAnsi="Arial" w:cs="Arial"/>
        </w:rPr>
        <w:t>), Mamoncillo (</w:t>
      </w:r>
      <w:proofErr w:type="spellStart"/>
      <w:r w:rsidRPr="005C6FA4">
        <w:rPr>
          <w:rFonts w:ascii="Arial" w:hAnsi="Arial" w:cs="Arial"/>
        </w:rPr>
        <w:t>Meliccoca</w:t>
      </w:r>
      <w:proofErr w:type="spellEnd"/>
      <w:r w:rsidRPr="005C6FA4">
        <w:rPr>
          <w:rFonts w:ascii="Arial" w:hAnsi="Arial" w:cs="Arial"/>
        </w:rPr>
        <w:t xml:space="preserve"> </w:t>
      </w:r>
      <w:proofErr w:type="spellStart"/>
      <w:r w:rsidRPr="005C6FA4">
        <w:rPr>
          <w:rFonts w:ascii="Arial" w:hAnsi="Arial" w:cs="Arial"/>
        </w:rPr>
        <w:t>bijuco</w:t>
      </w:r>
      <w:proofErr w:type="spellEnd"/>
      <w:r w:rsidRPr="005C6FA4">
        <w:rPr>
          <w:rFonts w:ascii="Arial" w:hAnsi="Arial" w:cs="Arial"/>
        </w:rPr>
        <w:t xml:space="preserve">), </w:t>
      </w:r>
      <w:proofErr w:type="spellStart"/>
      <w:r w:rsidRPr="005C6FA4">
        <w:rPr>
          <w:rFonts w:ascii="Arial" w:hAnsi="Arial" w:cs="Arial"/>
        </w:rPr>
        <w:t>Guázimo</w:t>
      </w:r>
      <w:proofErr w:type="spellEnd"/>
      <w:r w:rsidRPr="005C6FA4">
        <w:rPr>
          <w:rFonts w:ascii="Arial" w:hAnsi="Arial" w:cs="Arial"/>
        </w:rPr>
        <w:t xml:space="preserve"> (</w:t>
      </w:r>
      <w:proofErr w:type="spellStart"/>
      <w:r w:rsidRPr="005C6FA4">
        <w:rPr>
          <w:rFonts w:ascii="Arial" w:hAnsi="Arial" w:cs="Arial"/>
        </w:rPr>
        <w:t>Guazuma</w:t>
      </w:r>
      <w:proofErr w:type="spellEnd"/>
      <w:r w:rsidRPr="005C6FA4">
        <w:rPr>
          <w:rFonts w:ascii="Arial" w:hAnsi="Arial" w:cs="Arial"/>
        </w:rPr>
        <w:t xml:space="preserve"> </w:t>
      </w:r>
      <w:proofErr w:type="spellStart"/>
      <w:r w:rsidRPr="005C6FA4">
        <w:rPr>
          <w:rFonts w:ascii="Arial" w:hAnsi="Arial" w:cs="Arial"/>
        </w:rPr>
        <w:t>ulmifolia</w:t>
      </w:r>
      <w:proofErr w:type="spellEnd"/>
      <w:r w:rsidRPr="005C6FA4">
        <w:rPr>
          <w:rFonts w:ascii="Arial" w:hAnsi="Arial" w:cs="Arial"/>
        </w:rPr>
        <w:t xml:space="preserve">), </w:t>
      </w:r>
      <w:proofErr w:type="spellStart"/>
      <w:r w:rsidRPr="005C6FA4">
        <w:rPr>
          <w:rFonts w:ascii="Arial" w:hAnsi="Arial" w:cs="Arial"/>
        </w:rPr>
        <w:t>Camajón</w:t>
      </w:r>
      <w:proofErr w:type="spellEnd"/>
      <w:r w:rsidRPr="005C6FA4">
        <w:rPr>
          <w:rFonts w:ascii="Arial" w:hAnsi="Arial" w:cs="Arial"/>
        </w:rPr>
        <w:t xml:space="preserve"> (</w:t>
      </w:r>
      <w:proofErr w:type="spellStart"/>
      <w:r w:rsidRPr="005C6FA4">
        <w:rPr>
          <w:rFonts w:ascii="Arial" w:hAnsi="Arial" w:cs="Arial"/>
        </w:rPr>
        <w:t>Stermilia</w:t>
      </w:r>
      <w:proofErr w:type="spellEnd"/>
      <w:r w:rsidRPr="005C6FA4">
        <w:rPr>
          <w:rFonts w:ascii="Arial" w:hAnsi="Arial" w:cs="Arial"/>
        </w:rPr>
        <w:t xml:space="preserve"> apéstala), Cañafístulas (Casia </w:t>
      </w:r>
      <w:proofErr w:type="spellStart"/>
      <w:r w:rsidRPr="005C6FA4">
        <w:rPr>
          <w:rFonts w:ascii="Arial" w:hAnsi="Arial" w:cs="Arial"/>
        </w:rPr>
        <w:t>mostacha</w:t>
      </w:r>
      <w:proofErr w:type="spellEnd"/>
      <w:r w:rsidRPr="005C6FA4">
        <w:rPr>
          <w:rFonts w:ascii="Arial" w:hAnsi="Arial" w:cs="Arial"/>
        </w:rPr>
        <w:t>), Caracolí (</w:t>
      </w:r>
      <w:proofErr w:type="spellStart"/>
      <w:r w:rsidRPr="005C6FA4">
        <w:rPr>
          <w:rFonts w:ascii="Arial" w:hAnsi="Arial" w:cs="Arial"/>
        </w:rPr>
        <w:t>Anacardium</w:t>
      </w:r>
      <w:proofErr w:type="spellEnd"/>
      <w:r w:rsidRPr="005C6FA4">
        <w:rPr>
          <w:rFonts w:ascii="Arial" w:hAnsi="Arial" w:cs="Arial"/>
        </w:rPr>
        <w:t xml:space="preserve"> </w:t>
      </w:r>
      <w:proofErr w:type="spellStart"/>
      <w:r w:rsidRPr="005C6FA4">
        <w:rPr>
          <w:rFonts w:ascii="Arial" w:hAnsi="Arial" w:cs="Arial"/>
        </w:rPr>
        <w:t>excelsum</w:t>
      </w:r>
      <w:proofErr w:type="spellEnd"/>
      <w:r w:rsidRPr="005C6FA4">
        <w:rPr>
          <w:rFonts w:ascii="Arial" w:hAnsi="Arial" w:cs="Arial"/>
        </w:rPr>
        <w:t>) y Totumo (</w:t>
      </w:r>
      <w:proofErr w:type="spellStart"/>
      <w:r w:rsidRPr="005C6FA4">
        <w:rPr>
          <w:rFonts w:ascii="Arial" w:hAnsi="Arial" w:cs="Arial"/>
        </w:rPr>
        <w:t>Cresentia</w:t>
      </w:r>
      <w:proofErr w:type="spellEnd"/>
      <w:r w:rsidRPr="005C6FA4">
        <w:rPr>
          <w:rFonts w:ascii="Arial" w:hAnsi="Arial" w:cs="Arial"/>
        </w:rPr>
        <w:t xml:space="preserve"> </w:t>
      </w:r>
      <w:proofErr w:type="spellStart"/>
      <w:r w:rsidRPr="005C6FA4">
        <w:rPr>
          <w:rFonts w:ascii="Arial" w:hAnsi="Arial" w:cs="Arial"/>
        </w:rPr>
        <w:t>cujete</w:t>
      </w:r>
      <w:proofErr w:type="spellEnd"/>
      <w:r w:rsidRPr="005C6FA4">
        <w:rPr>
          <w:rFonts w:ascii="Arial" w:hAnsi="Arial" w:cs="Arial"/>
        </w:rPr>
        <w:t xml:space="preserve">). En lo referente a la fauna del sector, las especies más importantes existentes en la zona, de acuerdo a varios talleres realizados por CARDIQUE con la comunidad, son: Iguana, Babilla, Cotorro, Lechuza, Juan Pescador, Armadillo, </w:t>
      </w:r>
      <w:proofErr w:type="spellStart"/>
      <w:r w:rsidRPr="005C6FA4">
        <w:rPr>
          <w:rFonts w:ascii="Arial" w:hAnsi="Arial" w:cs="Arial"/>
        </w:rPr>
        <w:t>Moncholo</w:t>
      </w:r>
      <w:proofErr w:type="spellEnd"/>
      <w:r w:rsidRPr="005C6FA4">
        <w:rPr>
          <w:rFonts w:ascii="Arial" w:hAnsi="Arial" w:cs="Arial"/>
        </w:rPr>
        <w:t xml:space="preserve">, Cascabel, </w:t>
      </w:r>
      <w:proofErr w:type="spellStart"/>
      <w:r w:rsidRPr="005C6FA4">
        <w:rPr>
          <w:rFonts w:ascii="Arial" w:hAnsi="Arial" w:cs="Arial"/>
        </w:rPr>
        <w:t>Mapana</w:t>
      </w:r>
      <w:proofErr w:type="spellEnd"/>
      <w:r w:rsidRPr="005C6FA4">
        <w:rPr>
          <w:rFonts w:ascii="Arial" w:hAnsi="Arial" w:cs="Arial"/>
        </w:rPr>
        <w:t xml:space="preserve"> Prieta y Blanca, Boa, Azotadora, </w:t>
      </w:r>
      <w:proofErr w:type="spellStart"/>
      <w:r w:rsidRPr="005C6FA4">
        <w:rPr>
          <w:rFonts w:ascii="Arial" w:hAnsi="Arial" w:cs="Arial"/>
        </w:rPr>
        <w:t>Guacabó</w:t>
      </w:r>
      <w:proofErr w:type="spellEnd"/>
      <w:r w:rsidRPr="005C6FA4">
        <w:rPr>
          <w:rFonts w:ascii="Arial" w:hAnsi="Arial" w:cs="Arial"/>
        </w:rPr>
        <w:t xml:space="preserve">, Lobo Pollero, Caimán, Galápago, Tapaculo Galápago, Mochuelo, Pava Congona, Toche, Azulejo, Golero, Garrochero, Chamaría, Chupa Huevo, Lechuza, Chupaflor, Pecho Blanco, Albañil o carga barro, Juan Polo, Turpial, Conejo, Venado, Ñeque, Puerco </w:t>
      </w:r>
      <w:proofErr w:type="spellStart"/>
      <w:r w:rsidRPr="005C6FA4">
        <w:rPr>
          <w:rFonts w:ascii="Arial" w:hAnsi="Arial" w:cs="Arial"/>
        </w:rPr>
        <w:t>espin</w:t>
      </w:r>
      <w:proofErr w:type="spellEnd"/>
      <w:r w:rsidRPr="005C6FA4">
        <w:rPr>
          <w:rFonts w:ascii="Arial" w:hAnsi="Arial" w:cs="Arial"/>
        </w:rPr>
        <w:t xml:space="preserve">, Tigrillo, Oso hormiguero, Oso perezoso, Mico colorado, Mico Tití, Loro Manguero. </w:t>
      </w:r>
    </w:p>
    <w:p w:rsidR="00B81964" w:rsidRPr="005C6FA4" w:rsidRDefault="00B81964" w:rsidP="005C6FA4">
      <w:pPr>
        <w:jc w:val="both"/>
        <w:rPr>
          <w:rFonts w:ascii="Arial" w:hAnsi="Arial" w:cs="Arial"/>
          <w:bCs/>
        </w:rPr>
      </w:pPr>
      <w:r w:rsidRPr="005C6FA4">
        <w:rPr>
          <w:rFonts w:ascii="Arial" w:hAnsi="Arial" w:cs="Arial"/>
          <w:noProof/>
          <w14:ligatures w14:val="none"/>
        </w:rPr>
        <w:drawing>
          <wp:inline distT="0" distB="0" distL="0" distR="0" wp14:anchorId="573439AE" wp14:editId="173374CE">
            <wp:extent cx="5270500" cy="4757868"/>
            <wp:effectExtent l="0" t="0" r="635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3108" t="31466" r="19666" b="4526"/>
                    <a:stretch/>
                  </pic:blipFill>
                  <pic:spPr bwMode="auto">
                    <a:xfrm>
                      <a:off x="0" y="0"/>
                      <a:ext cx="5275973" cy="4762808"/>
                    </a:xfrm>
                    <a:prstGeom prst="rect">
                      <a:avLst/>
                    </a:prstGeom>
                    <a:ln>
                      <a:noFill/>
                    </a:ln>
                    <a:extLst>
                      <a:ext uri="{53640926-AAD7-44D8-BBD7-CCE9431645EC}">
                        <a14:shadowObscured xmlns:a14="http://schemas.microsoft.com/office/drawing/2010/main"/>
                      </a:ext>
                    </a:extLst>
                  </pic:spPr>
                </pic:pic>
              </a:graphicData>
            </a:graphic>
          </wp:inline>
        </w:drawing>
      </w:r>
    </w:p>
    <w:p w:rsidR="001435FA" w:rsidRPr="0091457F" w:rsidRDefault="001435FA" w:rsidP="0091457F">
      <w:pPr>
        <w:pStyle w:val="Prrafodelista"/>
        <w:numPr>
          <w:ilvl w:val="0"/>
          <w:numId w:val="13"/>
        </w:numPr>
        <w:jc w:val="both"/>
        <w:rPr>
          <w:rFonts w:ascii="Arial" w:hAnsi="Arial" w:cs="Arial"/>
        </w:rPr>
      </w:pPr>
      <w:r w:rsidRPr="0091457F">
        <w:rPr>
          <w:rFonts w:ascii="Arial" w:hAnsi="Arial" w:cs="Arial"/>
        </w:rPr>
        <w:t>Vivienda, Ciudad y Territorio</w:t>
      </w:r>
    </w:p>
    <w:p w:rsidR="001435FA" w:rsidRPr="005C6FA4" w:rsidRDefault="001435FA" w:rsidP="005C6FA4">
      <w:pPr>
        <w:jc w:val="both"/>
        <w:rPr>
          <w:rFonts w:ascii="Arial" w:hAnsi="Arial" w:cs="Arial"/>
        </w:rPr>
      </w:pPr>
      <w:r w:rsidRPr="005C6FA4">
        <w:rPr>
          <w:rFonts w:ascii="Arial" w:hAnsi="Arial" w:cs="Arial"/>
        </w:rPr>
        <w:t xml:space="preserve">El déficit cuantitativo, cualitativo y el habitacional para el municipio de San Juan Nepomuceno, según cifras DANE, son 13,7%, 85,8% y 99,42% respectivamente. Estos déficits, están representados de la siguiente manera: Cabecera municipal </w:t>
      </w:r>
      <w:r w:rsidRPr="005C6FA4">
        <w:rPr>
          <w:rFonts w:ascii="Arial" w:hAnsi="Arial" w:cs="Arial"/>
        </w:rPr>
        <w:lastRenderedPageBreak/>
        <w:t>(11.96%, 87.35% y 99.31% respectivamente), para el caso de los Centros Poblados y Rural Disperso (18.56%, 81.16% y 99.72% respectivamente). Lo anterior significa que se requiere seguir orientando los esfuerzos propios y de gestión hacia los proyectos de vivienda nueva y mejoramiento de vivienda en sitio propio, enfocando la gestión en mayor proporción a mejorar el déficit cualitativo para mejorar las condiciones de: estructura, pisos, hacinamiento, cocinas y servicios públicos.</w:t>
      </w:r>
    </w:p>
    <w:p w:rsidR="001435FA" w:rsidRPr="005C6FA4" w:rsidRDefault="001435FA" w:rsidP="005C6FA4">
      <w:pPr>
        <w:jc w:val="both"/>
        <w:rPr>
          <w:rFonts w:ascii="Arial" w:hAnsi="Arial" w:cs="Arial"/>
        </w:rPr>
      </w:pPr>
      <w:r w:rsidRPr="005C6FA4">
        <w:rPr>
          <w:rFonts w:ascii="Arial" w:hAnsi="Arial" w:cs="Arial"/>
        </w:rPr>
        <w:t>El municipio de San Juan Nepomuceno cuenta con 6.122 viviendas en zona urbana y 2.343 en la zona rural. De los 8.465 hogares el 5,5% no cuentan con vivienda que equivale a 400 hogares. De estos, 6.863 hogares presentan déficit cualitativo por encontrarse en mal estado, no cumplen con las normas mínimas, o se encuentran en zona de alto riesgos. No obstante, se halló que se suministró materiales para el mejoramiento de viviendas, las cuales fueron principalmente afectadas por fenómenos climáticos, además de la formalización, legalización y/o enajenación de 512 predios baldíos del municipio. Sin embargo, se necesita urgente la optimización de los acueductos de San Cayetano, San Agustín, Corralito, San José del Peñón y la construcción del acueducto del Corregimiento de La Haya. Además, mejoras en medio punto porcentual del índice cualitativo de mejoramiento de vivienda, lograr la construcción de 40 VIS en el municipio para iniciar la disminución del déficit de vivienda. Asimismo, se debe realizar la estructuración de un PBOT acorde a las necesidades de la población y leyes que rigen la materia.</w:t>
      </w:r>
    </w:p>
    <w:p w:rsidR="00EB01FC" w:rsidRPr="0091457F" w:rsidRDefault="00EB01FC" w:rsidP="0091457F">
      <w:pPr>
        <w:pStyle w:val="Prrafodelista"/>
        <w:numPr>
          <w:ilvl w:val="0"/>
          <w:numId w:val="13"/>
        </w:numPr>
        <w:jc w:val="both"/>
        <w:rPr>
          <w:rFonts w:ascii="Arial" w:hAnsi="Arial" w:cs="Arial"/>
        </w:rPr>
      </w:pPr>
      <w:r w:rsidRPr="0091457F">
        <w:rPr>
          <w:rFonts w:ascii="Arial" w:hAnsi="Arial" w:cs="Arial"/>
        </w:rPr>
        <w:t>Seguridad Alimentaria</w:t>
      </w:r>
    </w:p>
    <w:p w:rsidR="00EB01FC" w:rsidRPr="005C6FA4" w:rsidRDefault="00EB01FC" w:rsidP="005C6FA4">
      <w:pPr>
        <w:jc w:val="both"/>
        <w:rPr>
          <w:rFonts w:ascii="Arial" w:hAnsi="Arial" w:cs="Arial"/>
        </w:rPr>
      </w:pPr>
      <w:r w:rsidRPr="005C6FA4">
        <w:rPr>
          <w:rFonts w:ascii="Arial" w:hAnsi="Arial" w:cs="Arial"/>
        </w:rPr>
        <w:t>De acuerdo con los datos que procesa la Alcaldía Municipal, la inseguridad alimentaria grave afecta al 4,9% de los hogares, lo que implica que al menos una persona en el 5% de los hogares no ha podido comer durante un día debido a la falta de recursos en los últimos 12 meses.</w:t>
      </w:r>
    </w:p>
    <w:p w:rsidR="00EB01FC" w:rsidRPr="005C6FA4" w:rsidRDefault="00EB01FC" w:rsidP="005C6FA4">
      <w:pPr>
        <w:jc w:val="both"/>
        <w:rPr>
          <w:rFonts w:ascii="Arial" w:hAnsi="Arial" w:cs="Arial"/>
        </w:rPr>
      </w:pPr>
      <w:r w:rsidRPr="005C6FA4">
        <w:rPr>
          <w:rFonts w:ascii="Arial" w:hAnsi="Arial" w:cs="Arial"/>
          <w:noProof/>
          <w14:ligatures w14:val="none"/>
        </w:rPr>
        <w:lastRenderedPageBreak/>
        <w:drawing>
          <wp:inline distT="0" distB="0" distL="0" distR="0" wp14:anchorId="56B353E9" wp14:editId="54669650">
            <wp:extent cx="5893852" cy="2921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4354" t="46552" r="17063" b="17025"/>
                    <a:stretch/>
                  </pic:blipFill>
                  <pic:spPr bwMode="auto">
                    <a:xfrm>
                      <a:off x="0" y="0"/>
                      <a:ext cx="5897753" cy="2922933"/>
                    </a:xfrm>
                    <a:prstGeom prst="rect">
                      <a:avLst/>
                    </a:prstGeom>
                    <a:ln>
                      <a:noFill/>
                    </a:ln>
                    <a:extLst>
                      <a:ext uri="{53640926-AAD7-44D8-BBD7-CCE9431645EC}">
                        <a14:shadowObscured xmlns:a14="http://schemas.microsoft.com/office/drawing/2010/main"/>
                      </a:ext>
                    </a:extLst>
                  </pic:spPr>
                </pic:pic>
              </a:graphicData>
            </a:graphic>
          </wp:inline>
        </w:drawing>
      </w:r>
    </w:p>
    <w:p w:rsidR="00A8654D" w:rsidRPr="005C6FA4" w:rsidRDefault="00A8654D" w:rsidP="005C6FA4">
      <w:pPr>
        <w:jc w:val="both"/>
        <w:rPr>
          <w:rFonts w:ascii="Arial" w:hAnsi="Arial" w:cs="Arial"/>
        </w:rPr>
      </w:pPr>
      <w:r w:rsidRPr="005C6FA4">
        <w:rPr>
          <w:rFonts w:ascii="Arial" w:hAnsi="Arial" w:cs="Arial"/>
        </w:rPr>
        <w:t xml:space="preserve">San Juan Nepomuceno cuenta con una variedad de cultivos en los diferentes meses del año, en un total de 17.716.213 hectáreas. </w:t>
      </w:r>
      <w:proofErr w:type="spellStart"/>
      <w:r w:rsidRPr="005C6FA4">
        <w:rPr>
          <w:rFonts w:ascii="Arial" w:hAnsi="Arial" w:cs="Arial"/>
        </w:rPr>
        <w:t>Sopdesma</w:t>
      </w:r>
      <w:proofErr w:type="spellEnd"/>
      <w:r w:rsidRPr="005C6FA4">
        <w:rPr>
          <w:rFonts w:ascii="Arial" w:hAnsi="Arial" w:cs="Arial"/>
        </w:rPr>
        <w:t>.</w:t>
      </w:r>
    </w:p>
    <w:p w:rsidR="00A8654D" w:rsidRPr="005C6FA4" w:rsidRDefault="00A8654D" w:rsidP="005C6FA4">
      <w:pPr>
        <w:jc w:val="both"/>
        <w:rPr>
          <w:rFonts w:ascii="Arial" w:hAnsi="Arial" w:cs="Arial"/>
        </w:rPr>
      </w:pPr>
    </w:p>
    <w:p w:rsidR="00A8654D" w:rsidRPr="005C6FA4" w:rsidRDefault="00A8654D" w:rsidP="005C6FA4">
      <w:pPr>
        <w:jc w:val="both"/>
        <w:rPr>
          <w:rFonts w:ascii="Arial" w:hAnsi="Arial" w:cs="Arial"/>
        </w:rPr>
      </w:pPr>
      <w:r w:rsidRPr="005C6FA4">
        <w:rPr>
          <w:rFonts w:ascii="Arial" w:hAnsi="Arial" w:cs="Arial"/>
          <w:noProof/>
          <w14:ligatures w14:val="none"/>
        </w:rPr>
        <w:drawing>
          <wp:inline distT="0" distB="0" distL="0" distR="0" wp14:anchorId="2DD026E0" wp14:editId="71780A4C">
            <wp:extent cx="5777805" cy="26860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0960" t="32543" r="12311" b="26078"/>
                    <a:stretch/>
                  </pic:blipFill>
                  <pic:spPr bwMode="auto">
                    <a:xfrm>
                      <a:off x="0" y="0"/>
                      <a:ext cx="5786279" cy="2689989"/>
                    </a:xfrm>
                    <a:prstGeom prst="rect">
                      <a:avLst/>
                    </a:prstGeom>
                    <a:ln>
                      <a:noFill/>
                    </a:ln>
                    <a:extLst>
                      <a:ext uri="{53640926-AAD7-44D8-BBD7-CCE9431645EC}">
                        <a14:shadowObscured xmlns:a14="http://schemas.microsoft.com/office/drawing/2010/main"/>
                      </a:ext>
                    </a:extLst>
                  </pic:spPr>
                </pic:pic>
              </a:graphicData>
            </a:graphic>
          </wp:inline>
        </w:drawing>
      </w:r>
    </w:p>
    <w:p w:rsidR="00EB01FC" w:rsidRPr="005C6FA4" w:rsidRDefault="00A8654D" w:rsidP="005C6FA4">
      <w:pPr>
        <w:jc w:val="both"/>
        <w:rPr>
          <w:rFonts w:ascii="Arial" w:hAnsi="Arial" w:cs="Arial"/>
        </w:rPr>
      </w:pPr>
      <w:r w:rsidRPr="005C6FA4">
        <w:rPr>
          <w:rFonts w:ascii="Arial" w:hAnsi="Arial" w:cs="Arial"/>
        </w:rPr>
        <w:t xml:space="preserve">San Juan cuenta con un total de 39.426 cabezas de ganado Bovino, en unos aproximados 753 predios. </w:t>
      </w:r>
      <w:proofErr w:type="spellStart"/>
      <w:r w:rsidRPr="005C6FA4">
        <w:rPr>
          <w:rFonts w:ascii="Arial" w:hAnsi="Arial" w:cs="Arial"/>
        </w:rPr>
        <w:t>Sopdesma</w:t>
      </w:r>
      <w:proofErr w:type="spellEnd"/>
      <w:r w:rsidR="006D3609" w:rsidRPr="005C6FA4">
        <w:rPr>
          <w:rFonts w:ascii="Arial" w:hAnsi="Arial" w:cs="Arial"/>
        </w:rPr>
        <w:t>.</w:t>
      </w:r>
    </w:p>
    <w:p w:rsidR="006D3609" w:rsidRPr="005C6FA4" w:rsidRDefault="006D3609" w:rsidP="005C6FA4">
      <w:pPr>
        <w:jc w:val="both"/>
        <w:rPr>
          <w:rFonts w:ascii="Arial" w:hAnsi="Arial" w:cs="Arial"/>
        </w:rPr>
      </w:pPr>
      <w:r w:rsidRPr="005C6FA4">
        <w:rPr>
          <w:rFonts w:ascii="Arial" w:hAnsi="Arial" w:cs="Arial"/>
        </w:rPr>
        <w:t>San Juan también cuenta con variación en el manejo y producción de otras especies. (</w:t>
      </w:r>
      <w:proofErr w:type="spellStart"/>
      <w:r w:rsidRPr="005C6FA4">
        <w:rPr>
          <w:rFonts w:ascii="Arial" w:hAnsi="Arial" w:cs="Arial"/>
        </w:rPr>
        <w:t>Sopdesma</w:t>
      </w:r>
      <w:proofErr w:type="spellEnd"/>
      <w:r w:rsidRPr="005C6FA4">
        <w:rPr>
          <w:rFonts w:ascii="Arial" w:hAnsi="Arial" w:cs="Arial"/>
        </w:rPr>
        <w:t>).</w:t>
      </w:r>
    </w:p>
    <w:p w:rsidR="006D3609" w:rsidRPr="005C6FA4" w:rsidRDefault="006D3609" w:rsidP="005C6FA4">
      <w:pPr>
        <w:jc w:val="both"/>
        <w:rPr>
          <w:rFonts w:ascii="Arial" w:hAnsi="Arial" w:cs="Arial"/>
        </w:rPr>
      </w:pPr>
    </w:p>
    <w:p w:rsidR="006D3609" w:rsidRPr="005C6FA4" w:rsidRDefault="006D3609" w:rsidP="005C6FA4">
      <w:pPr>
        <w:jc w:val="both"/>
        <w:rPr>
          <w:rFonts w:ascii="Arial" w:hAnsi="Arial" w:cs="Arial"/>
          <w:bCs/>
        </w:rPr>
      </w:pPr>
      <w:r w:rsidRPr="005C6FA4">
        <w:rPr>
          <w:rFonts w:ascii="Arial" w:hAnsi="Arial" w:cs="Arial"/>
          <w:noProof/>
          <w14:ligatures w14:val="none"/>
        </w:rPr>
        <w:lastRenderedPageBreak/>
        <w:drawing>
          <wp:inline distT="0" distB="0" distL="0" distR="0" wp14:anchorId="075C877D" wp14:editId="5A236912">
            <wp:extent cx="5351854" cy="2768600"/>
            <wp:effectExtent l="0" t="0" r="127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0733" t="39224" r="6993" b="9267"/>
                    <a:stretch/>
                  </pic:blipFill>
                  <pic:spPr bwMode="auto">
                    <a:xfrm>
                      <a:off x="0" y="0"/>
                      <a:ext cx="5362431" cy="2774072"/>
                    </a:xfrm>
                    <a:prstGeom prst="rect">
                      <a:avLst/>
                    </a:prstGeom>
                    <a:ln>
                      <a:noFill/>
                    </a:ln>
                    <a:extLst>
                      <a:ext uri="{53640926-AAD7-44D8-BBD7-CCE9431645EC}">
                        <a14:shadowObscured xmlns:a14="http://schemas.microsoft.com/office/drawing/2010/main"/>
                      </a:ext>
                    </a:extLst>
                  </pic:spPr>
                </pic:pic>
              </a:graphicData>
            </a:graphic>
          </wp:inline>
        </w:drawing>
      </w:r>
    </w:p>
    <w:p w:rsidR="0082042B" w:rsidRPr="005C6FA4" w:rsidRDefault="0082042B" w:rsidP="005C6FA4">
      <w:pPr>
        <w:jc w:val="both"/>
        <w:rPr>
          <w:rFonts w:ascii="Arial" w:hAnsi="Arial" w:cs="Arial"/>
          <w:bCs/>
        </w:rPr>
      </w:pPr>
    </w:p>
    <w:p w:rsidR="0082042B" w:rsidRPr="0091457F" w:rsidRDefault="0082042B" w:rsidP="0091457F">
      <w:pPr>
        <w:pStyle w:val="Prrafodelista"/>
        <w:numPr>
          <w:ilvl w:val="0"/>
          <w:numId w:val="13"/>
        </w:numPr>
        <w:jc w:val="both"/>
        <w:rPr>
          <w:rFonts w:ascii="Arial" w:hAnsi="Arial" w:cs="Arial"/>
        </w:rPr>
      </w:pPr>
      <w:r w:rsidRPr="0091457F">
        <w:rPr>
          <w:rFonts w:ascii="Arial" w:hAnsi="Arial" w:cs="Arial"/>
        </w:rPr>
        <w:t>Acceso A Tierras.</w:t>
      </w:r>
    </w:p>
    <w:p w:rsidR="00212FF5" w:rsidRPr="005C6FA4" w:rsidRDefault="00212FF5" w:rsidP="005C6FA4">
      <w:pPr>
        <w:jc w:val="both"/>
        <w:rPr>
          <w:rFonts w:ascii="Arial" w:hAnsi="Arial" w:cs="Arial"/>
        </w:rPr>
      </w:pPr>
      <w:r w:rsidRPr="005C6FA4">
        <w:rPr>
          <w:rFonts w:ascii="Arial" w:hAnsi="Arial" w:cs="Arial"/>
        </w:rPr>
        <w:t>Tenencia de la tierra según la superficie en hectáreas por numero de predios y propietarios.</w:t>
      </w:r>
    </w:p>
    <w:p w:rsidR="00212FF5" w:rsidRPr="005C6FA4" w:rsidRDefault="00212FF5" w:rsidP="005C6FA4">
      <w:pPr>
        <w:jc w:val="both"/>
        <w:rPr>
          <w:rFonts w:ascii="Arial" w:hAnsi="Arial" w:cs="Arial"/>
        </w:rPr>
      </w:pPr>
      <w:r w:rsidRPr="005C6FA4">
        <w:rPr>
          <w:rFonts w:ascii="Arial" w:hAnsi="Arial" w:cs="Arial"/>
          <w:noProof/>
          <w14:ligatures w14:val="none"/>
        </w:rPr>
        <w:drawing>
          <wp:inline distT="0" distB="0" distL="0" distR="0" wp14:anchorId="45952276" wp14:editId="296D9D3F">
            <wp:extent cx="5149850" cy="289940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9532" t="38146" r="14800" b="2155"/>
                    <a:stretch/>
                  </pic:blipFill>
                  <pic:spPr bwMode="auto">
                    <a:xfrm>
                      <a:off x="0" y="0"/>
                      <a:ext cx="5157837" cy="2903904"/>
                    </a:xfrm>
                    <a:prstGeom prst="rect">
                      <a:avLst/>
                    </a:prstGeom>
                    <a:ln>
                      <a:noFill/>
                    </a:ln>
                    <a:extLst>
                      <a:ext uri="{53640926-AAD7-44D8-BBD7-CCE9431645EC}">
                        <a14:shadowObscured xmlns:a14="http://schemas.microsoft.com/office/drawing/2010/main"/>
                      </a:ext>
                    </a:extLst>
                  </pic:spPr>
                </pic:pic>
              </a:graphicData>
            </a:graphic>
          </wp:inline>
        </w:drawing>
      </w:r>
    </w:p>
    <w:p w:rsidR="00355786" w:rsidRPr="0091457F" w:rsidRDefault="00355786" w:rsidP="0091457F">
      <w:pPr>
        <w:pStyle w:val="Prrafodelista"/>
        <w:numPr>
          <w:ilvl w:val="0"/>
          <w:numId w:val="13"/>
        </w:numPr>
        <w:jc w:val="both"/>
        <w:rPr>
          <w:rFonts w:ascii="Arial" w:hAnsi="Arial" w:cs="Arial"/>
        </w:rPr>
      </w:pPr>
      <w:bookmarkStart w:id="0" w:name="_GoBack"/>
      <w:bookmarkEnd w:id="0"/>
      <w:r w:rsidRPr="0091457F">
        <w:rPr>
          <w:rFonts w:ascii="Arial" w:hAnsi="Arial" w:cs="Arial"/>
        </w:rPr>
        <w:t xml:space="preserve">Programa Catastro Multipropósito </w:t>
      </w:r>
    </w:p>
    <w:p w:rsidR="00355786" w:rsidRPr="005C6FA4" w:rsidRDefault="00355786" w:rsidP="005C6FA4">
      <w:pPr>
        <w:jc w:val="both"/>
        <w:rPr>
          <w:rFonts w:ascii="Arial" w:hAnsi="Arial" w:cs="Arial"/>
        </w:rPr>
      </w:pPr>
      <w:r w:rsidRPr="005C6FA4">
        <w:rPr>
          <w:rFonts w:ascii="Arial" w:hAnsi="Arial" w:cs="Arial"/>
        </w:rPr>
        <w:t xml:space="preserve">El catastro multipropósito se rige por leyes y normas como la Ley de Catastro, la Ley de Ordenamiento Territorial y Desarrollo Urbano, así como normativas específicas sobre información geoespacial y datos territoriales. Además, se basa en estándares internacionales como los establecidos por la Organización Internacional </w:t>
      </w:r>
      <w:r w:rsidRPr="005C6FA4">
        <w:rPr>
          <w:rFonts w:ascii="Arial" w:hAnsi="Arial" w:cs="Arial"/>
        </w:rPr>
        <w:lastRenderedPageBreak/>
        <w:t xml:space="preserve">de Normalización (ISO) para la gestión de la información geográfica. Estas leyes y normas proporcionan el marco legal y técnico necesario para la creación, mantenimiento y utilización del catastro multipropósito, asegurando su calidad, integridad y disponibilidad para apoyar la toma de decisiones en la gestión del territorio. El Catastro Multipropósito y el Sistema de Administración del Territorio se conciben como herramientas complementarias que permiten optimizar la gestión del territorio. Basándose en el </w:t>
      </w:r>
      <w:proofErr w:type="spellStart"/>
      <w:r w:rsidRPr="005C6FA4">
        <w:rPr>
          <w:rFonts w:ascii="Arial" w:hAnsi="Arial" w:cs="Arial"/>
        </w:rPr>
        <w:t>Conpes</w:t>
      </w:r>
      <w:proofErr w:type="spellEnd"/>
      <w:r w:rsidRPr="005C6FA4">
        <w:rPr>
          <w:rFonts w:ascii="Arial" w:hAnsi="Arial" w:cs="Arial"/>
        </w:rPr>
        <w:t xml:space="preserve"> 3958 o Política de Catastro Multipropósito, el municipio de San Juan Nepomuceno implementará este programa para formar, actualizar, conservar, disponer y utilizar información catastral con un enfoque multipropósito. Esto implica aprovechar las relaciones funcionales y la asociatividad territorial para fortalecer las capacidades del territorio en términos de ordenamiento y planificación. Mediante la integración de datos catastrales y territoriales, se busca potenciar la toma de decisiones informadas y promover un desarrollo sostenible y equitativo. El enfoque multipropósito garantiza la versatilidad de la información catastral, permitiendo su utilización en diversas áreas como la gestión del suelo, el desarrollo urbano, la gestión ambiental y la planificación de servicios públicos.</w:t>
      </w:r>
    </w:p>
    <w:p w:rsidR="005C6FA4" w:rsidRPr="005C6FA4" w:rsidRDefault="005C6FA4" w:rsidP="005C6FA4">
      <w:p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Los riesgos sociales y ambientales identificados en el Plan de Desarrollo de San Juan Nepomuceno son:</w:t>
      </w:r>
    </w:p>
    <w:p w:rsidR="005C6FA4" w:rsidRPr="005C6FA4" w:rsidRDefault="005C6FA4" w:rsidP="005C6FA4">
      <w:p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Riesgos sociales</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Pobreza</w:t>
      </w:r>
      <w:r w:rsidRPr="005C6FA4">
        <w:rPr>
          <w:rFonts w:ascii="Arial" w:eastAsia="Times New Roman" w:hAnsi="Arial" w:cs="Arial"/>
          <w:kern w:val="0"/>
          <w:lang w:eastAsia="es-CO"/>
          <w14:ligatures w14:val="none"/>
        </w:rPr>
        <w:t>: El municipio presenta altos índices de pobreza debido a bajos ingresos, acceso limitado a servicios básicos, desigualdad social, déficit de vivienda y urbanización, y acceso limitado a educación y salud.</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Desigualdad</w:t>
      </w:r>
      <w:r w:rsidRPr="005C6FA4">
        <w:rPr>
          <w:rFonts w:ascii="Arial" w:eastAsia="Times New Roman" w:hAnsi="Arial" w:cs="Arial"/>
          <w:kern w:val="0"/>
          <w:lang w:eastAsia="es-CO"/>
          <w14:ligatures w14:val="none"/>
        </w:rPr>
        <w:t>: La desigualdad social se manifiesta en la falta de acceso a oportunidades y servicios básicos para los grupos más vulnerables de la población.</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Violencia</w:t>
      </w:r>
      <w:r w:rsidRPr="005C6FA4">
        <w:rPr>
          <w:rFonts w:ascii="Arial" w:eastAsia="Times New Roman" w:hAnsi="Arial" w:cs="Arial"/>
          <w:kern w:val="0"/>
          <w:lang w:eastAsia="es-CO"/>
          <w14:ligatures w14:val="none"/>
        </w:rPr>
        <w:t>: El municipio ha sido históricamente afectado por el conflicto armado, lo que ha generado violencia, desplazamiento forzado y vulneración de los derechos humanos.</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Desempleo</w:t>
      </w:r>
      <w:r w:rsidRPr="005C6FA4">
        <w:rPr>
          <w:rFonts w:ascii="Arial" w:eastAsia="Times New Roman" w:hAnsi="Arial" w:cs="Arial"/>
          <w:kern w:val="0"/>
          <w:lang w:eastAsia="es-CO"/>
          <w14:ligatures w14:val="none"/>
        </w:rPr>
        <w:t>: La falta de oportunidades laborales, especialmente para los jóvenes, es un problema importante en el municipio.</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Inseguridad alimentaria</w:t>
      </w:r>
      <w:r w:rsidRPr="005C6FA4">
        <w:rPr>
          <w:rFonts w:ascii="Arial" w:eastAsia="Times New Roman" w:hAnsi="Arial" w:cs="Arial"/>
          <w:kern w:val="0"/>
          <w:lang w:eastAsia="es-CO"/>
          <w14:ligatures w14:val="none"/>
        </w:rPr>
        <w:t>: Un porcentaje importante de la población no tiene acceso a una alimentación adecuada y nutritiva.</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Embarazo adolescente</w:t>
      </w:r>
      <w:r w:rsidRPr="005C6FA4">
        <w:rPr>
          <w:rFonts w:ascii="Arial" w:eastAsia="Times New Roman" w:hAnsi="Arial" w:cs="Arial"/>
          <w:kern w:val="0"/>
          <w:lang w:eastAsia="es-CO"/>
          <w14:ligatures w14:val="none"/>
        </w:rPr>
        <w:t>: Las tasas de embarazo adolescente son altas, lo que afecta el desarrollo y las oportunidades de las jóvenes.</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Desnutrición infantil</w:t>
      </w:r>
      <w:r w:rsidRPr="005C6FA4">
        <w:rPr>
          <w:rFonts w:ascii="Arial" w:eastAsia="Times New Roman" w:hAnsi="Arial" w:cs="Arial"/>
          <w:kern w:val="0"/>
          <w:lang w:eastAsia="es-CO"/>
          <w14:ligatures w14:val="none"/>
        </w:rPr>
        <w:t>: La desnutrición infantil es un problema de salud pública en el municipio.</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Enfermedades</w:t>
      </w:r>
      <w:r w:rsidRPr="005C6FA4">
        <w:rPr>
          <w:rFonts w:ascii="Arial" w:eastAsia="Times New Roman" w:hAnsi="Arial" w:cs="Arial"/>
          <w:kern w:val="0"/>
          <w:lang w:eastAsia="es-CO"/>
          <w14:ligatures w14:val="none"/>
        </w:rPr>
        <w:t>: El municipio presenta altas tasas de enfermedades transmisibles y no transmisibles, así como problemas de salud mental.</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Falta de acceso a servicios públicos</w:t>
      </w:r>
      <w:r w:rsidRPr="005C6FA4">
        <w:rPr>
          <w:rFonts w:ascii="Arial" w:eastAsia="Times New Roman" w:hAnsi="Arial" w:cs="Arial"/>
          <w:kern w:val="0"/>
          <w:lang w:eastAsia="es-CO"/>
          <w14:ligatures w14:val="none"/>
        </w:rPr>
        <w:t>: Un porcentaje importante de la población no tiene acceso a servicios públicos básicos como agua potable, alcantarillado y energía eléctrica.</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lastRenderedPageBreak/>
        <w:t>Déficit de vivienda</w:t>
      </w:r>
      <w:r w:rsidRPr="005C6FA4">
        <w:rPr>
          <w:rFonts w:ascii="Arial" w:eastAsia="Times New Roman" w:hAnsi="Arial" w:cs="Arial"/>
          <w:kern w:val="0"/>
          <w:lang w:eastAsia="es-CO"/>
          <w14:ligatures w14:val="none"/>
        </w:rPr>
        <w:t>: Existe un déficit cuantitativo y cualitativo de vivienda en el municipio, lo que genera hacinamiento y condiciones de vida precarias.</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Falta de infraestructura educativa</w:t>
      </w:r>
      <w:r w:rsidRPr="005C6FA4">
        <w:rPr>
          <w:rFonts w:ascii="Arial" w:eastAsia="Times New Roman" w:hAnsi="Arial" w:cs="Arial"/>
          <w:kern w:val="0"/>
          <w:lang w:eastAsia="es-CO"/>
          <w14:ligatures w14:val="none"/>
        </w:rPr>
        <w:t>: Las instituciones educativas del municipio presentan deficiencias en infraestructura, dotación y acceso a servicios públicos.</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Falta de oportunidades para jóvenes</w:t>
      </w:r>
      <w:r w:rsidRPr="005C6FA4">
        <w:rPr>
          <w:rFonts w:ascii="Arial" w:eastAsia="Times New Roman" w:hAnsi="Arial" w:cs="Arial"/>
          <w:kern w:val="0"/>
          <w:lang w:eastAsia="es-CO"/>
          <w14:ligatures w14:val="none"/>
        </w:rPr>
        <w:t>: Los jóvenes del municipio enfrentan dificultades para acceder a educación superior, empleo y oportunidades de emprendimiento.</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Violencia intrafamiliar</w:t>
      </w:r>
      <w:r w:rsidRPr="005C6FA4">
        <w:rPr>
          <w:rFonts w:ascii="Arial" w:eastAsia="Times New Roman" w:hAnsi="Arial" w:cs="Arial"/>
          <w:kern w:val="0"/>
          <w:lang w:eastAsia="es-CO"/>
          <w14:ligatures w14:val="none"/>
        </w:rPr>
        <w:t>: La violencia intrafamiliar es un problema que afecta a muchas familias del municipio.</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Consumo de sustancias psicoactivas</w:t>
      </w:r>
      <w:r w:rsidRPr="005C6FA4">
        <w:rPr>
          <w:rFonts w:ascii="Arial" w:eastAsia="Times New Roman" w:hAnsi="Arial" w:cs="Arial"/>
          <w:kern w:val="0"/>
          <w:lang w:eastAsia="es-CO"/>
          <w14:ligatures w14:val="none"/>
        </w:rPr>
        <w:t>: El consumo de sustancias psicoactivas es un problema creciente en el municipio, especialmente entre los jóvenes.</w:t>
      </w:r>
    </w:p>
    <w:p w:rsidR="005C6FA4" w:rsidRPr="005C6FA4" w:rsidRDefault="005C6FA4" w:rsidP="005C6FA4">
      <w:pPr>
        <w:numPr>
          <w:ilvl w:val="0"/>
          <w:numId w:val="8"/>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Discriminación</w:t>
      </w:r>
      <w:r w:rsidRPr="005C6FA4">
        <w:rPr>
          <w:rFonts w:ascii="Arial" w:eastAsia="Times New Roman" w:hAnsi="Arial" w:cs="Arial"/>
          <w:kern w:val="0"/>
          <w:lang w:eastAsia="es-CO"/>
          <w14:ligatures w14:val="none"/>
        </w:rPr>
        <w:t>: Existen formas de discriminación por género, orientación sexual, identidad de género, pertenencia étnica y discapacidad.</w:t>
      </w:r>
    </w:p>
    <w:p w:rsidR="005C6FA4" w:rsidRPr="005C6FA4" w:rsidRDefault="005C6FA4" w:rsidP="005C6FA4">
      <w:p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Riesgos ambientales</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Deforestación</w:t>
      </w:r>
      <w:r w:rsidRPr="005C6FA4">
        <w:rPr>
          <w:rFonts w:ascii="Arial" w:eastAsia="Times New Roman" w:hAnsi="Arial" w:cs="Arial"/>
          <w:kern w:val="0"/>
          <w:lang w:eastAsia="es-CO"/>
          <w14:ligatures w14:val="none"/>
        </w:rPr>
        <w:t>: La deforestación es un problema importante en el municipio, especialmente en las zonas de reserva forestal.</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Contaminación</w:t>
      </w:r>
      <w:r w:rsidRPr="005C6FA4">
        <w:rPr>
          <w:rFonts w:ascii="Arial" w:eastAsia="Times New Roman" w:hAnsi="Arial" w:cs="Arial"/>
          <w:kern w:val="0"/>
          <w:lang w:eastAsia="es-CO"/>
          <w14:ligatures w14:val="none"/>
        </w:rPr>
        <w:t>: La contaminación del agua, el aire y el suelo es un problema que afecta la salud de la población y el medio ambiente.</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Cambio climático</w:t>
      </w:r>
      <w:r w:rsidRPr="005C6FA4">
        <w:rPr>
          <w:rFonts w:ascii="Arial" w:eastAsia="Times New Roman" w:hAnsi="Arial" w:cs="Arial"/>
          <w:kern w:val="0"/>
          <w:lang w:eastAsia="es-CO"/>
          <w14:ligatures w14:val="none"/>
        </w:rPr>
        <w:t>: El municipio es vulnerable a los efectos del cambio climático, como sequías, inundaciones y aumento del nivel del mar.</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Manejo inadecuado de residuos sólidos</w:t>
      </w:r>
      <w:r w:rsidRPr="005C6FA4">
        <w:rPr>
          <w:rFonts w:ascii="Arial" w:eastAsia="Times New Roman" w:hAnsi="Arial" w:cs="Arial"/>
          <w:kern w:val="0"/>
          <w:lang w:eastAsia="es-CO"/>
          <w14:ligatures w14:val="none"/>
        </w:rPr>
        <w:t>: El manejo inadecuado de residuos sólidos genera contaminación y problemas de salud pública.</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Pérdida de biodiversidad</w:t>
      </w:r>
      <w:r w:rsidRPr="005C6FA4">
        <w:rPr>
          <w:rFonts w:ascii="Arial" w:eastAsia="Times New Roman" w:hAnsi="Arial" w:cs="Arial"/>
          <w:kern w:val="0"/>
          <w:lang w:eastAsia="es-CO"/>
          <w14:ligatures w14:val="none"/>
        </w:rPr>
        <w:t>: La pérdida de biodiversidad es un problema que afecta la riqueza natural del municipio.</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Degradación de ecosistemas</w:t>
      </w:r>
      <w:r w:rsidRPr="005C6FA4">
        <w:rPr>
          <w:rFonts w:ascii="Arial" w:eastAsia="Times New Roman" w:hAnsi="Arial" w:cs="Arial"/>
          <w:kern w:val="0"/>
          <w:lang w:eastAsia="es-CO"/>
          <w14:ligatures w14:val="none"/>
        </w:rPr>
        <w:t>: La degradación de ecosistemas como bosques, humedales y cuerpos de agua afecta la provisión de servicios ecosistémicos.</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Falta de conciencia ambiental</w:t>
      </w:r>
      <w:r w:rsidRPr="005C6FA4">
        <w:rPr>
          <w:rFonts w:ascii="Arial" w:eastAsia="Times New Roman" w:hAnsi="Arial" w:cs="Arial"/>
          <w:kern w:val="0"/>
          <w:lang w:eastAsia="es-CO"/>
          <w14:ligatures w14:val="none"/>
        </w:rPr>
        <w:t>: La falta de conciencia ambiental entre la población dificulta la implementación de prácticas sostenibles.</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Falta de planificación territorial</w:t>
      </w:r>
      <w:r w:rsidRPr="005C6FA4">
        <w:rPr>
          <w:rFonts w:ascii="Arial" w:eastAsia="Times New Roman" w:hAnsi="Arial" w:cs="Arial"/>
          <w:kern w:val="0"/>
          <w:lang w:eastAsia="es-CO"/>
          <w14:ligatures w14:val="none"/>
        </w:rPr>
        <w:t>: La falta de planificación territorial genera un uso inadecuado del suelo y dificulta la gestión de riesgos ambientales.</w:t>
      </w:r>
    </w:p>
    <w:p w:rsidR="005C6FA4" w:rsidRPr="005C6FA4" w:rsidRDefault="005C6FA4" w:rsidP="005C6FA4">
      <w:pPr>
        <w:numPr>
          <w:ilvl w:val="0"/>
          <w:numId w:val="9"/>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Vulnerabilidad a desastres naturales</w:t>
      </w:r>
      <w:r w:rsidRPr="005C6FA4">
        <w:rPr>
          <w:rFonts w:ascii="Arial" w:eastAsia="Times New Roman" w:hAnsi="Arial" w:cs="Arial"/>
          <w:kern w:val="0"/>
          <w:lang w:eastAsia="es-CO"/>
          <w14:ligatures w14:val="none"/>
        </w:rPr>
        <w:t>: El municipio es vulnerable a desastres naturales como inundaciones, deslizamientos y sequías.</w:t>
      </w:r>
    </w:p>
    <w:p w:rsidR="005C6FA4" w:rsidRPr="005C6FA4" w:rsidRDefault="005C6FA4" w:rsidP="005C6FA4">
      <w:p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bCs/>
          <w:kern w:val="0"/>
          <w:lang w:eastAsia="es-CO"/>
          <w14:ligatures w14:val="none"/>
        </w:rPr>
        <w:t>Datos y cifras relevantes</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El 20,8% de la población de 5 años y más y el 24,9% de 15 años y más de San Juan Nepomuceno no sabe leer y escribir.</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El 70,1% de la población en cabecera de 3 a 24 años asiste a un establecimiento educativo formal.</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El 36,1% de la población residente en San Juan Nepomuceno, ha alcanzado el nivel básico primaria; el 31,9% ha alcanzado secundaria y el 3,7% el nivel superior y postgrado.</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La población residente sin ningún nivel educativo es el 20,3%.</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lastRenderedPageBreak/>
        <w:t>La principal causa de mortalidad en la población atendida son las enfermedades no transmisibles.</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El mayor número de atenciones por trastornos mentales y del comportamiento debido al uso de sustancias psicoactivas durante el periodo analizado se reportó en la adolescencia, seguido de la juventud.</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En el año 2.021 se registraron 1.558 casos confirmados de COVID19 procedentes del municipio de San Juan Nepomuceno.</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En el municipio de San Juan Nepomuceno, para el año 2.021 se reportan 1.504 personas en condición de discapacidad, representando aproximadamente el 3,8% del total poblacional.</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La tasa de fecundidad en niñas de 10 a 14 años pasó de 1,68 en el 2.005 a 4,43 nacimientos por cada 1.000 mujeres en el 2.020.</w:t>
      </w:r>
    </w:p>
    <w:p w:rsidR="005C6FA4" w:rsidRPr="005C6FA4" w:rsidRDefault="005C6FA4" w:rsidP="005C6FA4">
      <w:pPr>
        <w:numPr>
          <w:ilvl w:val="0"/>
          <w:numId w:val="10"/>
        </w:numPr>
        <w:spacing w:before="100" w:beforeAutospacing="1" w:after="100" w:afterAutospacing="1" w:line="240" w:lineRule="auto"/>
        <w:jc w:val="both"/>
        <w:rPr>
          <w:rFonts w:ascii="Arial" w:eastAsia="Times New Roman" w:hAnsi="Arial" w:cs="Arial"/>
          <w:kern w:val="0"/>
          <w:lang w:eastAsia="es-CO"/>
          <w14:ligatures w14:val="none"/>
        </w:rPr>
      </w:pPr>
      <w:r w:rsidRPr="005C6FA4">
        <w:rPr>
          <w:rFonts w:ascii="Arial" w:eastAsia="Times New Roman" w:hAnsi="Arial" w:cs="Arial"/>
          <w:kern w:val="0"/>
          <w:lang w:eastAsia="es-CO"/>
          <w14:ligatures w14:val="none"/>
        </w:rPr>
        <w:t>El Registro Único de Víctimas para el año 2.021, registra desplazamiento forzado en 22.933 personas.</w:t>
      </w:r>
    </w:p>
    <w:p w:rsidR="005E45CD" w:rsidRPr="00176EB2" w:rsidRDefault="005C6FA4" w:rsidP="003E04F8">
      <w:pPr>
        <w:numPr>
          <w:ilvl w:val="0"/>
          <w:numId w:val="10"/>
        </w:numPr>
        <w:spacing w:before="100" w:beforeAutospacing="1" w:after="100" w:afterAutospacing="1" w:line="240" w:lineRule="auto"/>
        <w:jc w:val="both"/>
        <w:rPr>
          <w:rFonts w:ascii="Arial" w:hAnsi="Arial" w:cs="Arial"/>
          <w:bCs/>
        </w:rPr>
      </w:pPr>
      <w:r w:rsidRPr="005C6FA4">
        <w:rPr>
          <w:rFonts w:ascii="Arial" w:eastAsia="Times New Roman" w:hAnsi="Arial" w:cs="Arial"/>
          <w:kern w:val="0"/>
          <w:lang w:eastAsia="es-CO"/>
          <w14:ligatures w14:val="none"/>
        </w:rPr>
        <w:t>El déficit cuantitativo, cualitativo y el habitacional para el municipio de San Juan Nepomuceno, según cifras DANE, son 13,7%, 85,8% y 99,42% respectivamente</w:t>
      </w:r>
      <w:r w:rsidR="00176EB2">
        <w:rPr>
          <w:rFonts w:ascii="Arial" w:eastAsia="Times New Roman" w:hAnsi="Arial" w:cs="Arial"/>
          <w:kern w:val="0"/>
          <w:lang w:eastAsia="es-CO"/>
          <w14:ligatures w14:val="none"/>
        </w:rPr>
        <w:t>.</w:t>
      </w:r>
    </w:p>
    <w:p w:rsidR="00176EB2" w:rsidRDefault="00176EB2" w:rsidP="00176EB2">
      <w:pPr>
        <w:spacing w:before="100" w:beforeAutospacing="1" w:after="100" w:afterAutospacing="1" w:line="240" w:lineRule="auto"/>
        <w:jc w:val="both"/>
        <w:rPr>
          <w:rFonts w:ascii="Arial" w:hAnsi="Arial" w:cs="Arial"/>
          <w:bCs/>
        </w:rPr>
      </w:pPr>
    </w:p>
    <w:p w:rsidR="00176EB2" w:rsidRPr="00176EB2" w:rsidRDefault="00176EB2" w:rsidP="00176EB2">
      <w:p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La bibliografía:</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Alcaldía de San Juan Nepomuceno (2020). Esquema de Ordenamiento Territorial de San Juan Nepomuceno.</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Banco Mundial (2018). Pobreza y prosperidad compartida 2018: armando la pieza del rompecabezas de la pobreza y prosperidad compartida. Washington, DC: Banco Mundial.</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Departamento Administrativo Nacional de Estadística - DANE (2018). Medición de pobreza multidimensional en Colombia.</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Departamento Administrativo Nacional de Estadística - DANE (2021). Proyecciones de población municipales y departamentales 2018-2035.</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Departamento Nacional de Planeación - DNP (2018). Bases del Plan Nacional de Desarrollo 2018-2022. Pacto por Colombia, Pacto por la Equidad.</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 xml:space="preserve">Departamento Nacional de Planeación - DNP (2019). Plan Plurianual de Inversiones 2018-2022.   </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Instituto Geográfico Agustín Codazzi - IGAC (2012). Estudio general de suelos y zonificación de tierras del departamento de Bolívar.</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Organización de las Naciones Unidas - ONU (2015). Agenda 2030 para el Desarrollo Sostenible.</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Programa de las Naciones Unidas para el Desarrollo - PNUD (2016). Objetivos de Desarrollo Sostenible.</w:t>
      </w:r>
    </w:p>
    <w:p w:rsidR="00176EB2" w:rsidRPr="00176EB2" w:rsidRDefault="00176EB2" w:rsidP="00176EB2">
      <w:pPr>
        <w:numPr>
          <w:ilvl w:val="0"/>
          <w:numId w:val="11"/>
        </w:numPr>
        <w:spacing w:before="100" w:beforeAutospacing="1" w:after="100" w:afterAutospacing="1" w:line="240" w:lineRule="auto"/>
        <w:rPr>
          <w:rFonts w:ascii="Times New Roman" w:eastAsia="Times New Roman" w:hAnsi="Times New Roman" w:cs="Times New Roman"/>
          <w:kern w:val="0"/>
          <w:lang w:eastAsia="es-CO"/>
          <w14:ligatures w14:val="none"/>
        </w:rPr>
      </w:pPr>
      <w:r w:rsidRPr="00176EB2">
        <w:rPr>
          <w:rFonts w:ascii="Times New Roman" w:eastAsia="Times New Roman" w:hAnsi="Times New Roman" w:cs="Times New Roman"/>
          <w:kern w:val="0"/>
          <w:lang w:eastAsia="es-CO"/>
          <w14:ligatures w14:val="none"/>
        </w:rPr>
        <w:t>Unidad para la Atención y Reparación Integral a las Víctimas (2021). Registro Único de Víctimas.</w:t>
      </w:r>
    </w:p>
    <w:sectPr w:rsidR="00176EB2" w:rsidRPr="00176EB2">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2343B"/>
    <w:multiLevelType w:val="multilevel"/>
    <w:tmpl w:val="0D665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C05169"/>
    <w:multiLevelType w:val="multilevel"/>
    <w:tmpl w:val="F7A28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425148"/>
    <w:multiLevelType w:val="multilevel"/>
    <w:tmpl w:val="D5F8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643EB0"/>
    <w:multiLevelType w:val="multilevel"/>
    <w:tmpl w:val="628E7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563A98"/>
    <w:multiLevelType w:val="multilevel"/>
    <w:tmpl w:val="0FC8B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8427B5"/>
    <w:multiLevelType w:val="hybridMultilevel"/>
    <w:tmpl w:val="10F61166"/>
    <w:lvl w:ilvl="0" w:tplc="FA5EA28A">
      <w:start w:val="5"/>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2440CA6"/>
    <w:multiLevelType w:val="multilevel"/>
    <w:tmpl w:val="F75E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2365D2C"/>
    <w:multiLevelType w:val="multilevel"/>
    <w:tmpl w:val="43986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0563EE"/>
    <w:multiLevelType w:val="multilevel"/>
    <w:tmpl w:val="C65C50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B243297"/>
    <w:multiLevelType w:val="hybridMultilevel"/>
    <w:tmpl w:val="B504DB7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6D0E7768"/>
    <w:multiLevelType w:val="multilevel"/>
    <w:tmpl w:val="60AC3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DC6047D"/>
    <w:multiLevelType w:val="multilevel"/>
    <w:tmpl w:val="CB36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3F02255"/>
    <w:multiLevelType w:val="multilevel"/>
    <w:tmpl w:val="A4586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69619E6"/>
    <w:multiLevelType w:val="multilevel"/>
    <w:tmpl w:val="A50E7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8"/>
  </w:num>
  <w:num w:numId="3">
    <w:abstractNumId w:val="13"/>
  </w:num>
  <w:num w:numId="4">
    <w:abstractNumId w:val="0"/>
  </w:num>
  <w:num w:numId="5">
    <w:abstractNumId w:val="4"/>
  </w:num>
  <w:num w:numId="6">
    <w:abstractNumId w:val="12"/>
  </w:num>
  <w:num w:numId="7">
    <w:abstractNumId w:val="11"/>
  </w:num>
  <w:num w:numId="8">
    <w:abstractNumId w:val="7"/>
  </w:num>
  <w:num w:numId="9">
    <w:abstractNumId w:val="1"/>
  </w:num>
  <w:num w:numId="10">
    <w:abstractNumId w:val="3"/>
  </w:num>
  <w:num w:numId="11">
    <w:abstractNumId w:val="6"/>
  </w:num>
  <w:num w:numId="12">
    <w:abstractNumId w:val="10"/>
  </w:num>
  <w:num w:numId="13">
    <w:abstractNumId w:val="9"/>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7E51"/>
    <w:rsid w:val="00043D6B"/>
    <w:rsid w:val="001435FA"/>
    <w:rsid w:val="00176EB2"/>
    <w:rsid w:val="00212FF5"/>
    <w:rsid w:val="002A28EF"/>
    <w:rsid w:val="00336D22"/>
    <w:rsid w:val="00355786"/>
    <w:rsid w:val="00395E33"/>
    <w:rsid w:val="003D69B6"/>
    <w:rsid w:val="004A5E4D"/>
    <w:rsid w:val="00517E51"/>
    <w:rsid w:val="005C6FA4"/>
    <w:rsid w:val="005E45CD"/>
    <w:rsid w:val="006D3609"/>
    <w:rsid w:val="006E13BC"/>
    <w:rsid w:val="007B6CD2"/>
    <w:rsid w:val="0082042B"/>
    <w:rsid w:val="00841B7C"/>
    <w:rsid w:val="0091457F"/>
    <w:rsid w:val="00A00FC6"/>
    <w:rsid w:val="00A8531E"/>
    <w:rsid w:val="00A8654D"/>
    <w:rsid w:val="00B320B6"/>
    <w:rsid w:val="00B81964"/>
    <w:rsid w:val="00BC5396"/>
    <w:rsid w:val="00BE3044"/>
    <w:rsid w:val="00C603F1"/>
    <w:rsid w:val="00D94985"/>
    <w:rsid w:val="00DA64A9"/>
    <w:rsid w:val="00EB01FC"/>
    <w:rsid w:val="00EE0F1E"/>
    <w:rsid w:val="00F802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909EB3"/>
  <w15:chartTrackingRefBased/>
  <w15:docId w15:val="{8216EEE6-974F-4BC8-A632-98E51627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17E51"/>
    <w:pPr>
      <w:spacing w:line="278" w:lineRule="auto"/>
    </w:pPr>
    <w:rPr>
      <w:kern w:val="2"/>
      <w:sz w:val="24"/>
      <w:szCs w:val="24"/>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BC5396"/>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customStyle="1" w:styleId="citation-0">
    <w:name w:val="citation-0"/>
    <w:basedOn w:val="Fuentedeprrafopredeter"/>
    <w:rsid w:val="00BC5396"/>
  </w:style>
  <w:style w:type="character" w:customStyle="1" w:styleId="button-container">
    <w:name w:val="button-container"/>
    <w:basedOn w:val="Fuentedeprrafopredeter"/>
    <w:rsid w:val="00BC5396"/>
  </w:style>
  <w:style w:type="paragraph" w:styleId="Prrafodelista">
    <w:name w:val="List Paragraph"/>
    <w:basedOn w:val="Normal"/>
    <w:uiPriority w:val="34"/>
    <w:qFormat/>
    <w:rsid w:val="00B320B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1789867">
      <w:bodyDiv w:val="1"/>
      <w:marLeft w:val="0"/>
      <w:marRight w:val="0"/>
      <w:marTop w:val="0"/>
      <w:marBottom w:val="0"/>
      <w:divBdr>
        <w:top w:val="none" w:sz="0" w:space="0" w:color="auto"/>
        <w:left w:val="none" w:sz="0" w:space="0" w:color="auto"/>
        <w:bottom w:val="none" w:sz="0" w:space="0" w:color="auto"/>
        <w:right w:val="none" w:sz="0" w:space="0" w:color="auto"/>
      </w:divBdr>
    </w:div>
    <w:div w:id="1588921875">
      <w:bodyDiv w:val="1"/>
      <w:marLeft w:val="0"/>
      <w:marRight w:val="0"/>
      <w:marTop w:val="0"/>
      <w:marBottom w:val="0"/>
      <w:divBdr>
        <w:top w:val="none" w:sz="0" w:space="0" w:color="auto"/>
        <w:left w:val="none" w:sz="0" w:space="0" w:color="auto"/>
        <w:bottom w:val="none" w:sz="0" w:space="0" w:color="auto"/>
        <w:right w:val="none" w:sz="0" w:space="0" w:color="auto"/>
      </w:divBdr>
    </w:div>
    <w:div w:id="2054379388">
      <w:bodyDiv w:val="1"/>
      <w:marLeft w:val="0"/>
      <w:marRight w:val="0"/>
      <w:marTop w:val="0"/>
      <w:marBottom w:val="0"/>
      <w:divBdr>
        <w:top w:val="none" w:sz="0" w:space="0" w:color="auto"/>
        <w:left w:val="none" w:sz="0" w:space="0" w:color="auto"/>
        <w:bottom w:val="none" w:sz="0" w:space="0" w:color="auto"/>
        <w:right w:val="none" w:sz="0" w:space="0" w:color="auto"/>
      </w:divBdr>
      <w:divsChild>
        <w:div w:id="353502206">
          <w:marLeft w:val="0"/>
          <w:marRight w:val="0"/>
          <w:marTop w:val="0"/>
          <w:marBottom w:val="0"/>
          <w:divBdr>
            <w:top w:val="none" w:sz="0" w:space="0" w:color="auto"/>
            <w:left w:val="none" w:sz="0" w:space="0" w:color="auto"/>
            <w:bottom w:val="none" w:sz="0" w:space="0" w:color="auto"/>
            <w:right w:val="none" w:sz="0" w:space="0" w:color="auto"/>
          </w:divBdr>
          <w:divsChild>
            <w:div w:id="320737482">
              <w:marLeft w:val="0"/>
              <w:marRight w:val="0"/>
              <w:marTop w:val="0"/>
              <w:marBottom w:val="0"/>
              <w:divBdr>
                <w:top w:val="none" w:sz="0" w:space="0" w:color="auto"/>
                <w:left w:val="none" w:sz="0" w:space="0" w:color="auto"/>
                <w:bottom w:val="none" w:sz="0" w:space="0" w:color="auto"/>
                <w:right w:val="none" w:sz="0" w:space="0" w:color="auto"/>
              </w:divBdr>
              <w:divsChild>
                <w:div w:id="1242181088">
                  <w:marLeft w:val="0"/>
                  <w:marRight w:val="0"/>
                  <w:marTop w:val="0"/>
                  <w:marBottom w:val="0"/>
                  <w:divBdr>
                    <w:top w:val="none" w:sz="0" w:space="0" w:color="auto"/>
                    <w:left w:val="none" w:sz="0" w:space="0" w:color="auto"/>
                    <w:bottom w:val="none" w:sz="0" w:space="0" w:color="auto"/>
                    <w:right w:val="none" w:sz="0" w:space="0" w:color="auto"/>
                  </w:divBdr>
                  <w:divsChild>
                    <w:div w:id="2090030461">
                      <w:marLeft w:val="0"/>
                      <w:marRight w:val="0"/>
                      <w:marTop w:val="0"/>
                      <w:marBottom w:val="0"/>
                      <w:divBdr>
                        <w:top w:val="none" w:sz="0" w:space="0" w:color="auto"/>
                        <w:left w:val="none" w:sz="0" w:space="0" w:color="auto"/>
                        <w:bottom w:val="none" w:sz="0" w:space="0" w:color="auto"/>
                        <w:right w:val="none" w:sz="0" w:space="0" w:color="auto"/>
                      </w:divBdr>
                      <w:divsChild>
                        <w:div w:id="1762094848">
                          <w:marLeft w:val="0"/>
                          <w:marRight w:val="0"/>
                          <w:marTop w:val="0"/>
                          <w:marBottom w:val="0"/>
                          <w:divBdr>
                            <w:top w:val="none" w:sz="0" w:space="0" w:color="auto"/>
                            <w:left w:val="none" w:sz="0" w:space="0" w:color="auto"/>
                            <w:bottom w:val="none" w:sz="0" w:space="0" w:color="auto"/>
                            <w:right w:val="none" w:sz="0" w:space="0" w:color="auto"/>
                          </w:divBdr>
                        </w:div>
                      </w:divsChild>
                    </w:div>
                    <w:div w:id="1459378374">
                      <w:marLeft w:val="0"/>
                      <w:marRight w:val="0"/>
                      <w:marTop w:val="0"/>
                      <w:marBottom w:val="0"/>
                      <w:divBdr>
                        <w:top w:val="none" w:sz="0" w:space="0" w:color="auto"/>
                        <w:left w:val="none" w:sz="0" w:space="0" w:color="auto"/>
                        <w:bottom w:val="none" w:sz="0" w:space="0" w:color="auto"/>
                        <w:right w:val="none" w:sz="0" w:space="0" w:color="auto"/>
                      </w:divBdr>
                      <w:divsChild>
                        <w:div w:id="115973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165727">
          <w:marLeft w:val="0"/>
          <w:marRight w:val="0"/>
          <w:marTop w:val="0"/>
          <w:marBottom w:val="0"/>
          <w:divBdr>
            <w:top w:val="none" w:sz="0" w:space="0" w:color="auto"/>
            <w:left w:val="none" w:sz="0" w:space="0" w:color="auto"/>
            <w:bottom w:val="none" w:sz="0" w:space="0" w:color="auto"/>
            <w:right w:val="none" w:sz="0" w:space="0" w:color="auto"/>
          </w:divBdr>
          <w:divsChild>
            <w:div w:id="193153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183</TotalTime>
  <Pages>12</Pages>
  <Words>2779</Words>
  <Characters>15287</Characters>
  <Application>Microsoft Office Word</Application>
  <DocSecurity>0</DocSecurity>
  <Lines>127</Lines>
  <Paragraphs>36</Paragraphs>
  <ScaleCrop>false</ScaleCrop>
  <HeadingPairs>
    <vt:vector size="2" baseType="variant">
      <vt:variant>
        <vt:lpstr>Título</vt:lpstr>
      </vt:variant>
      <vt:variant>
        <vt:i4>1</vt:i4>
      </vt:variant>
    </vt:vector>
  </HeadingPairs>
  <TitlesOfParts>
    <vt:vector size="1" baseType="lpstr">
      <vt:lpstr/>
    </vt:vector>
  </TitlesOfParts>
  <Company>Conocimiento Adictivo</Company>
  <LinksUpToDate>false</LinksUpToDate>
  <CharactersWithSpaces>18030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Jairo Ramirez Bemjumea</dc:creator>
  <cp:keywords/>
  <dc:description/>
  <cp:lastModifiedBy>Jairo Ramirez Bemjumea</cp:lastModifiedBy>
  <cp:revision>27</cp:revision>
  <dcterms:created xsi:type="dcterms:W3CDTF">2025-02-12T16:30:00Z</dcterms:created>
  <dcterms:modified xsi:type="dcterms:W3CDTF">2025-02-24T23:34:00Z</dcterms:modified>
</cp:coreProperties>
</file>